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平顶山总工会《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中国梦·劳动美·工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会情”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千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场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文化活动进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基层实施方案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》</w:t>
      </w:r>
      <w:bookmarkEnd w:id="0"/>
    </w:p>
    <w:p>
      <w:pPr>
        <w:spacing w:line="580" w:lineRule="exact"/>
        <w:ind w:firstLine="640" w:firstLineChars="200"/>
        <w:jc w:val="center"/>
        <w:rPr>
          <w:rFonts w:hint="eastAsia" w:eastAsia="仿宋_GB2312"/>
          <w:sz w:val="32"/>
          <w:szCs w:val="32"/>
        </w:rPr>
      </w:pPr>
    </w:p>
    <w:p>
      <w:pPr>
        <w:spacing w:line="580" w:lineRule="exact"/>
        <w:ind w:firstLine="320" w:firstLineChars="100"/>
        <w:rPr>
          <w:rFonts w:hint="eastAsia" w:eastAsia="楷体_GB2312"/>
          <w:b/>
          <w:bCs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</w:t>
      </w:r>
      <w:r>
        <w:rPr>
          <w:rFonts w:hint="eastAsia" w:eastAsia="楷体_GB2312"/>
          <w:b/>
          <w:bCs/>
          <w:sz w:val="32"/>
          <w:szCs w:val="32"/>
        </w:rPr>
        <w:t>一</w:t>
      </w:r>
      <w:r>
        <w:rPr>
          <w:rFonts w:hint="eastAsia" w:eastAsia="楷体_GB2312"/>
          <w:b/>
          <w:bCs/>
          <w:sz w:val="32"/>
          <w:szCs w:val="32"/>
          <w:lang w:eastAsia="zh-CN"/>
        </w:rPr>
        <w:t>、</w:t>
      </w:r>
      <w:r>
        <w:rPr>
          <w:rFonts w:hint="eastAsia" w:eastAsia="楷体_GB2312"/>
          <w:b/>
          <w:bCs/>
          <w:sz w:val="32"/>
          <w:szCs w:val="32"/>
        </w:rPr>
        <w:t>指导思想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深入学习贯彻习近平新时代中国特色社会主义思想，以习近平总书记关于文化建设重要论述为指导，以推动和繁荣中国特色社会主义先进文化和职工文化为引领，以弘扬社会主义核心价值观和劳模精神、劳动精神、工匠精神、工人阶级伟大品格宣传教育为核心，以讴歌党、讴歌祖国、讴歌人民、讴歌劳动为内容，聚焦中国梦，歌赞劳动美，通过职工群众喜闻乐见、丰富多彩的文化形式，丰富职工群众的精神文化生活，激励广大职工更加紧密地团结在以习近平同志为核心的党中央周围，坚定不移听党话，矢志不渝跟党走，为谱写新时代</w:t>
      </w:r>
      <w:r>
        <w:rPr>
          <w:rFonts w:hint="eastAsia" w:eastAsia="仿宋_GB2312"/>
          <w:sz w:val="32"/>
          <w:szCs w:val="32"/>
          <w:lang w:val="en-US" w:eastAsia="zh-CN"/>
        </w:rPr>
        <w:t>鹰城</w:t>
      </w:r>
      <w:r>
        <w:rPr>
          <w:rFonts w:hint="eastAsia" w:eastAsia="仿宋_GB2312"/>
          <w:sz w:val="32"/>
          <w:szCs w:val="32"/>
        </w:rPr>
        <w:t>更加出彩新篇章做出新的更大贡献。</w:t>
      </w:r>
    </w:p>
    <w:p>
      <w:pPr>
        <w:pStyle w:val="6"/>
        <w:widowControl w:val="0"/>
        <w:spacing w:line="580" w:lineRule="exact"/>
        <w:ind w:firstLine="643" w:firstLineChars="200"/>
        <w:rPr>
          <w:rFonts w:hint="eastAsia" w:eastAsia="楷体_GB2312"/>
          <w:b/>
          <w:bCs/>
          <w:sz w:val="32"/>
          <w:szCs w:val="32"/>
        </w:rPr>
      </w:pPr>
      <w:r>
        <w:rPr>
          <w:rFonts w:hint="eastAsia" w:eastAsia="楷体_GB2312"/>
          <w:b/>
          <w:bCs/>
          <w:sz w:val="32"/>
          <w:szCs w:val="32"/>
        </w:rPr>
        <w:t>二</w:t>
      </w:r>
      <w:r>
        <w:rPr>
          <w:rFonts w:hint="eastAsia" w:eastAsia="楷体_GB2312"/>
          <w:b/>
          <w:bCs/>
          <w:sz w:val="32"/>
          <w:szCs w:val="32"/>
          <w:lang w:eastAsia="zh-CN"/>
        </w:rPr>
        <w:t>、</w:t>
      </w:r>
      <w:r>
        <w:rPr>
          <w:rFonts w:hint="eastAsia" w:eastAsia="楷体_GB2312"/>
          <w:b/>
          <w:bCs/>
          <w:sz w:val="32"/>
          <w:szCs w:val="32"/>
        </w:rPr>
        <w:t>活动内容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以“中国梦·劳动美·工会情”文艺演出进基层活动为载体，以“送文艺、送电影、送书画、送培训、送讲座”（以下简称“五送”）为主要内容，广泛开展群众性文化活动。</w:t>
      </w:r>
    </w:p>
    <w:p>
      <w:pPr>
        <w:spacing w:line="580" w:lineRule="exact"/>
        <w:ind w:firstLine="643" w:firstLineChars="200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楷体_GB2312"/>
          <w:b/>
          <w:bCs/>
          <w:sz w:val="32"/>
          <w:szCs w:val="32"/>
          <w:lang w:val="en-US" w:eastAsia="zh-CN"/>
        </w:rPr>
        <w:t>三、组织方法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1、市</w:t>
      </w:r>
      <w:r>
        <w:rPr>
          <w:rFonts w:hint="eastAsia" w:eastAsia="仿宋_GB2312"/>
          <w:sz w:val="32"/>
          <w:szCs w:val="32"/>
        </w:rPr>
        <w:t>总本级组织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hint="eastAsia" w:eastAsia="仿宋_GB2312"/>
          <w:sz w:val="32"/>
          <w:szCs w:val="32"/>
        </w:rPr>
        <w:t>场示范性文艺演出和送电影、送书画、送培训、送讲座为主要内容的系列文化活动，赴厂矿企业和基层社区、重点工程及重大建设项目工地、脱贫攻坚一线，开展丰富多彩的送文化活动。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各</w:t>
      </w:r>
      <w:r>
        <w:rPr>
          <w:rFonts w:hint="eastAsia" w:eastAsia="仿宋_GB2312"/>
          <w:sz w:val="32"/>
          <w:szCs w:val="32"/>
          <w:lang w:val="en-US" w:eastAsia="zh-CN"/>
        </w:rPr>
        <w:t>县（市、区）</w:t>
      </w:r>
      <w:r>
        <w:rPr>
          <w:rFonts w:hint="eastAsia" w:eastAsia="仿宋_GB2312"/>
          <w:sz w:val="32"/>
          <w:szCs w:val="32"/>
        </w:rPr>
        <w:t>总工会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高新区工会、城乡一体化示范区工会：</w:t>
      </w:r>
      <w:r>
        <w:rPr>
          <w:rFonts w:hint="eastAsia" w:eastAsia="仿宋_GB2312"/>
          <w:sz w:val="32"/>
          <w:szCs w:val="32"/>
        </w:rPr>
        <w:t>分别组织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hint="eastAsia" w:eastAsia="仿宋_GB2312"/>
          <w:sz w:val="32"/>
          <w:szCs w:val="32"/>
        </w:rPr>
        <w:t>场示范性</w:t>
      </w:r>
      <w:r>
        <w:rPr>
          <w:rFonts w:hint="eastAsia" w:eastAsia="仿宋_GB2312"/>
          <w:sz w:val="32"/>
          <w:szCs w:val="32"/>
          <w:lang w:val="en-US" w:eastAsia="zh-CN"/>
        </w:rPr>
        <w:t>文化演出</w:t>
      </w:r>
      <w:r>
        <w:rPr>
          <w:rFonts w:hint="eastAsia" w:eastAsia="仿宋_GB2312"/>
          <w:sz w:val="32"/>
          <w:szCs w:val="32"/>
        </w:rPr>
        <w:t>和送电影、送书画、送培训、送讲座为主要内容的系列文化活动，赴厂矿企业和基层社区、重点工程及重大建设项目工地、脱贫攻坚一线，开展丰富多彩的送文化</w:t>
      </w:r>
      <w:r>
        <w:rPr>
          <w:rFonts w:hint="eastAsia" w:eastAsia="仿宋_GB2312"/>
          <w:sz w:val="32"/>
          <w:szCs w:val="32"/>
          <w:lang w:val="en-US" w:eastAsia="zh-CN"/>
        </w:rPr>
        <w:t>进基层</w:t>
      </w:r>
      <w:r>
        <w:rPr>
          <w:rFonts w:hint="eastAsia" w:eastAsia="仿宋_GB2312"/>
          <w:sz w:val="32"/>
          <w:szCs w:val="32"/>
        </w:rPr>
        <w:t>活动</w:t>
      </w:r>
      <w:r>
        <w:rPr>
          <w:rFonts w:hint="eastAsia" w:eastAsia="仿宋_GB2312"/>
          <w:sz w:val="32"/>
          <w:szCs w:val="32"/>
          <w:lang w:eastAsia="zh-CN"/>
        </w:rPr>
        <w:t>。</w:t>
      </w:r>
      <w:r>
        <w:rPr>
          <w:rFonts w:hint="eastAsia" w:eastAsia="仿宋_GB2312"/>
          <w:sz w:val="32"/>
          <w:szCs w:val="32"/>
          <w:lang w:val="en-US" w:eastAsia="zh-CN"/>
        </w:rPr>
        <w:t>安排、指导、督促辖区内各企事业单位工会组织开展职工文化活动。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3、市总产业工会、市直工会：结合单位实际组织开展文化演出、文化活动。安排、指导、督促系统、行业内各企事业单位工会组织开展职工文化活动。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4、市总</w:t>
      </w:r>
      <w:r>
        <w:rPr>
          <w:rFonts w:hint="eastAsia" w:eastAsia="仿宋_GB2312"/>
          <w:sz w:val="32"/>
          <w:szCs w:val="32"/>
        </w:rPr>
        <w:t>直属基层工会和全</w:t>
      </w:r>
      <w:r>
        <w:rPr>
          <w:rFonts w:hint="eastAsia" w:eastAsia="仿宋_GB2312"/>
          <w:sz w:val="32"/>
          <w:szCs w:val="32"/>
          <w:lang w:val="en-US" w:eastAsia="zh-CN"/>
        </w:rPr>
        <w:t>市</w:t>
      </w:r>
      <w:r>
        <w:rPr>
          <w:rFonts w:hint="eastAsia" w:eastAsia="仿宋_GB2312"/>
          <w:sz w:val="32"/>
          <w:szCs w:val="32"/>
        </w:rPr>
        <w:t>各企事业单位工会要坚持因地因企制宜，牢固树立“哪里有职工，哪里就是活动开展的主阵地”的意识，依据职工群众需要，组织本企业本单位职工文艺骨干，聘请专家、学者、教师，开展职工爱看、想听、愿学、受教育，形式多样的“五送”文化活动，经常性地进车间、进工地、进班组。</w:t>
      </w:r>
    </w:p>
    <w:p>
      <w:pPr>
        <w:pStyle w:val="6"/>
        <w:widowControl w:val="0"/>
        <w:spacing w:line="580" w:lineRule="exact"/>
        <w:ind w:firstLine="643" w:firstLineChars="200"/>
        <w:rPr>
          <w:rFonts w:hint="eastAsia" w:eastAsia="楷体_GB2312"/>
          <w:sz w:val="32"/>
          <w:szCs w:val="32"/>
        </w:rPr>
      </w:pPr>
      <w:r>
        <w:rPr>
          <w:rFonts w:hint="eastAsia" w:eastAsia="楷体_GB2312" w:asciiTheme="minorHAnsi" w:hAnsiTheme="minorHAnsi" w:cstheme="minorBidi"/>
          <w:b/>
          <w:bCs/>
          <w:sz w:val="32"/>
          <w:szCs w:val="32"/>
          <w:lang w:val="en-US" w:eastAsia="zh-CN" w:bidi="ar-SA"/>
        </w:rPr>
        <w:t>四、活动形式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通过购买服务、志愿服务等形式，组织文艺团队、文体骨干、专家、学者、教师采取演出、授课、培训、座谈交流、现场展示等方式，深入基层企业、工业园区、建筑工地开展公益性送文化进基层系列活动。</w:t>
      </w:r>
    </w:p>
    <w:p>
      <w:pPr>
        <w:pStyle w:val="6"/>
        <w:widowControl w:val="0"/>
        <w:spacing w:line="580" w:lineRule="exact"/>
        <w:ind w:firstLine="643" w:firstLineChars="200"/>
        <w:rPr>
          <w:rFonts w:hint="eastAsia" w:eastAsia="楷体_GB2312"/>
          <w:sz w:val="32"/>
          <w:szCs w:val="32"/>
        </w:rPr>
      </w:pPr>
      <w:r>
        <w:rPr>
          <w:rFonts w:hint="eastAsia" w:eastAsia="楷体_GB2312" w:asciiTheme="minorHAnsi" w:hAnsiTheme="minorHAnsi" w:cstheme="minorBidi"/>
          <w:b/>
          <w:bCs/>
          <w:sz w:val="32"/>
          <w:szCs w:val="32"/>
          <w:lang w:val="en-US" w:eastAsia="zh-CN" w:bidi="ar-SA"/>
        </w:rPr>
        <w:t>五、实施步骤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动员部署阶段（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hint="eastAsia" w:eastAsia="仿宋_GB2312"/>
          <w:sz w:val="32"/>
          <w:szCs w:val="32"/>
        </w:rPr>
        <w:t>月下旬—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hint="eastAsia" w:eastAsia="仿宋_GB2312"/>
          <w:sz w:val="32"/>
          <w:szCs w:val="32"/>
        </w:rPr>
        <w:t>月中旬）：</w:t>
      </w:r>
      <w:r>
        <w:rPr>
          <w:rFonts w:hint="eastAsia" w:eastAsia="仿宋_GB2312"/>
          <w:sz w:val="32"/>
          <w:szCs w:val="32"/>
          <w:lang w:val="en-US" w:eastAsia="zh-CN"/>
        </w:rPr>
        <w:t>各县（市、区）</w:t>
      </w:r>
      <w:r>
        <w:rPr>
          <w:rFonts w:hint="eastAsia" w:eastAsia="仿宋_GB2312"/>
          <w:sz w:val="32"/>
          <w:szCs w:val="32"/>
        </w:rPr>
        <w:t>工会分别制定实施方案，广泛宣传发动，扩大工会送文化进基层活动的社会影响。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组织实施阶段（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hint="eastAsia" w:eastAsia="仿宋_GB2312"/>
          <w:sz w:val="32"/>
          <w:szCs w:val="32"/>
        </w:rPr>
        <w:t>月下旬—1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月中旬）：</w:t>
      </w:r>
      <w:r>
        <w:rPr>
          <w:rFonts w:hint="eastAsia" w:eastAsia="仿宋_GB2312"/>
          <w:sz w:val="32"/>
          <w:szCs w:val="32"/>
          <w:lang w:val="en-US" w:eastAsia="zh-CN"/>
        </w:rPr>
        <w:t>根据疫情防控形势安排文化活动，</w:t>
      </w:r>
      <w:r>
        <w:rPr>
          <w:rFonts w:hint="eastAsia" w:eastAsia="仿宋_GB2312"/>
          <w:sz w:val="32"/>
          <w:szCs w:val="32"/>
        </w:rPr>
        <w:t>各级工会要层层分解任务，明确时间节点及进度要求，有序推进，1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月底前完成全年任务。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督促检查阶段（1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月下旬—1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月中旬）：</w:t>
      </w:r>
      <w:r>
        <w:rPr>
          <w:rFonts w:hint="eastAsia" w:eastAsia="仿宋_GB2312"/>
          <w:sz w:val="32"/>
          <w:szCs w:val="32"/>
          <w:lang w:val="en-US" w:eastAsia="zh-CN"/>
        </w:rPr>
        <w:t>市</w:t>
      </w:r>
      <w:r>
        <w:rPr>
          <w:rFonts w:hint="eastAsia" w:eastAsia="仿宋_GB2312"/>
          <w:sz w:val="32"/>
          <w:szCs w:val="32"/>
        </w:rPr>
        <w:t>总将组织对各</w:t>
      </w:r>
      <w:r>
        <w:rPr>
          <w:rFonts w:hint="eastAsia" w:eastAsia="仿宋_GB2312"/>
          <w:sz w:val="32"/>
          <w:szCs w:val="32"/>
          <w:lang w:val="en-US" w:eastAsia="zh-CN"/>
        </w:rPr>
        <w:t>县（市、区）</w:t>
      </w:r>
      <w:r>
        <w:rPr>
          <w:rFonts w:hint="eastAsia" w:eastAsia="仿宋_GB2312"/>
          <w:sz w:val="32"/>
          <w:szCs w:val="32"/>
        </w:rPr>
        <w:t>总工会、</w:t>
      </w:r>
      <w:r>
        <w:rPr>
          <w:rFonts w:hint="eastAsia" w:eastAsia="仿宋_GB2312"/>
          <w:sz w:val="32"/>
          <w:szCs w:val="32"/>
          <w:lang w:val="en-US" w:eastAsia="zh-CN"/>
        </w:rPr>
        <w:t>市</w:t>
      </w:r>
      <w:r>
        <w:rPr>
          <w:rFonts w:hint="eastAsia" w:eastAsia="仿宋_GB2312"/>
          <w:sz w:val="32"/>
          <w:szCs w:val="32"/>
        </w:rPr>
        <w:t>总直属基层工会开展送文化进基层活动的有关情况进行调研和督导。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总结完善阶段（1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月下旬）：全面总结、巩固提升活动成果，选树典型、推广经验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表彰先进，进一步做优做实</w:t>
      </w:r>
      <w:r>
        <w:rPr>
          <w:rFonts w:hint="eastAsia" w:eastAsia="仿宋_GB2312"/>
          <w:sz w:val="32"/>
          <w:szCs w:val="32"/>
          <w:lang w:val="en-US" w:eastAsia="zh-CN"/>
        </w:rPr>
        <w:t>平顶山</w:t>
      </w:r>
      <w:r>
        <w:rPr>
          <w:rFonts w:hint="eastAsia" w:eastAsia="仿宋_GB2312"/>
          <w:sz w:val="32"/>
          <w:szCs w:val="32"/>
        </w:rPr>
        <w:t>工会</w:t>
      </w:r>
      <w:r>
        <w:rPr>
          <w:rFonts w:hint="eastAsia" w:eastAsia="仿宋_GB2312"/>
          <w:sz w:val="32"/>
          <w:szCs w:val="32"/>
          <w:lang w:val="en-US" w:eastAsia="zh-CN"/>
        </w:rPr>
        <w:t>千</w:t>
      </w:r>
      <w:r>
        <w:rPr>
          <w:rFonts w:hint="eastAsia" w:eastAsia="仿宋_GB2312"/>
          <w:sz w:val="32"/>
          <w:szCs w:val="32"/>
        </w:rPr>
        <w:t>场文化活动进基层的品牌。</w:t>
      </w:r>
    </w:p>
    <w:p>
      <w:pPr>
        <w:pStyle w:val="6"/>
        <w:widowControl w:val="0"/>
        <w:spacing w:line="580" w:lineRule="exact"/>
        <w:ind w:firstLine="643" w:firstLineChars="200"/>
        <w:rPr>
          <w:rFonts w:hint="eastAsia" w:eastAsia="楷体_GB2312"/>
          <w:sz w:val="32"/>
          <w:szCs w:val="32"/>
        </w:rPr>
      </w:pPr>
      <w:r>
        <w:rPr>
          <w:rFonts w:hint="eastAsia" w:eastAsia="楷体_GB2312" w:asciiTheme="minorHAnsi" w:hAnsiTheme="minorHAnsi" w:cstheme="minorBidi"/>
          <w:b/>
          <w:bCs/>
          <w:sz w:val="32"/>
          <w:szCs w:val="32"/>
          <w:lang w:val="en-US" w:eastAsia="zh-CN" w:bidi="ar-SA"/>
        </w:rPr>
        <w:t>六、相关要求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加强领导、精心部署。“中国梦·劳动美·工会情”</w:t>
      </w:r>
      <w:r>
        <w:rPr>
          <w:rFonts w:hint="eastAsia" w:eastAsia="仿宋_GB2312"/>
          <w:sz w:val="32"/>
          <w:szCs w:val="32"/>
          <w:lang w:val="en-US" w:eastAsia="zh-CN"/>
        </w:rPr>
        <w:t>平顶山</w:t>
      </w:r>
      <w:r>
        <w:rPr>
          <w:rFonts w:hint="eastAsia" w:eastAsia="仿宋_GB2312"/>
          <w:sz w:val="32"/>
          <w:szCs w:val="32"/>
        </w:rPr>
        <w:t>工会</w:t>
      </w:r>
      <w:r>
        <w:rPr>
          <w:rFonts w:hint="eastAsia" w:eastAsia="仿宋_GB2312"/>
          <w:sz w:val="32"/>
          <w:szCs w:val="32"/>
          <w:lang w:val="en-US" w:eastAsia="zh-CN"/>
        </w:rPr>
        <w:t>千</w:t>
      </w:r>
      <w:r>
        <w:rPr>
          <w:rFonts w:hint="eastAsia" w:eastAsia="仿宋_GB2312"/>
          <w:sz w:val="32"/>
          <w:szCs w:val="32"/>
        </w:rPr>
        <w:t>场文化活动进基层是我</w:t>
      </w:r>
      <w:r>
        <w:rPr>
          <w:rFonts w:hint="eastAsia" w:eastAsia="仿宋_GB2312"/>
          <w:sz w:val="32"/>
          <w:szCs w:val="32"/>
          <w:lang w:val="en-US" w:eastAsia="zh-CN"/>
        </w:rPr>
        <w:t>市</w:t>
      </w:r>
      <w:r>
        <w:rPr>
          <w:rFonts w:hint="eastAsia" w:eastAsia="仿宋_GB2312"/>
          <w:sz w:val="32"/>
          <w:szCs w:val="32"/>
        </w:rPr>
        <w:t>工会重要的文化品牌和服务品牌，各级工会要高度重视，切实加强组织领导，落实责任目标，确保活动有序有效推进。</w:t>
      </w:r>
      <w:r>
        <w:rPr>
          <w:rFonts w:hint="eastAsia" w:eastAsia="仿宋_GB2312"/>
          <w:sz w:val="32"/>
          <w:szCs w:val="32"/>
          <w:lang w:val="en-US" w:eastAsia="zh-CN"/>
        </w:rPr>
        <w:t>市</w:t>
      </w:r>
      <w:r>
        <w:rPr>
          <w:rFonts w:hint="eastAsia" w:eastAsia="仿宋_GB2312"/>
          <w:sz w:val="32"/>
          <w:szCs w:val="32"/>
        </w:rPr>
        <w:t>总工会责任领导为党组成员、副主席</w:t>
      </w:r>
      <w:r>
        <w:rPr>
          <w:rFonts w:hint="eastAsia" w:eastAsia="仿宋_GB2312"/>
          <w:sz w:val="32"/>
          <w:szCs w:val="32"/>
          <w:lang w:val="en-US" w:eastAsia="zh-CN"/>
        </w:rPr>
        <w:t>李文生</w:t>
      </w:r>
      <w:r>
        <w:rPr>
          <w:rFonts w:hint="eastAsia" w:eastAsia="仿宋_GB2312"/>
          <w:sz w:val="32"/>
          <w:szCs w:val="32"/>
        </w:rPr>
        <w:t>，宣传教育部具体负责落实。</w:t>
      </w:r>
      <w:r>
        <w:rPr>
          <w:rFonts w:hint="eastAsia" w:eastAsia="仿宋_GB2312"/>
          <w:sz w:val="32"/>
          <w:szCs w:val="32"/>
          <w:lang w:val="en-US" w:eastAsia="zh-CN"/>
        </w:rPr>
        <w:t>各县（市、区）</w:t>
      </w:r>
      <w:r>
        <w:rPr>
          <w:rFonts w:hint="eastAsia" w:eastAsia="仿宋_GB2312"/>
          <w:sz w:val="32"/>
          <w:szCs w:val="32"/>
        </w:rPr>
        <w:t>总工会、</w:t>
      </w:r>
      <w:r>
        <w:rPr>
          <w:rFonts w:hint="eastAsia" w:eastAsia="仿宋_GB2312"/>
          <w:sz w:val="32"/>
          <w:szCs w:val="32"/>
          <w:lang w:val="en-US" w:eastAsia="zh-CN"/>
        </w:rPr>
        <w:t>市总</w:t>
      </w:r>
      <w:r>
        <w:rPr>
          <w:rFonts w:hint="eastAsia" w:eastAsia="仿宋_GB2312"/>
          <w:sz w:val="32"/>
          <w:szCs w:val="32"/>
        </w:rPr>
        <w:t>直属基层工会要将明确的责任领导、责任部门和制定专门的活动实施方案，于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0日前</w:t>
      </w:r>
      <w:r>
        <w:rPr>
          <w:rFonts w:hint="eastAsia" w:eastAsia="仿宋_GB2312"/>
          <w:sz w:val="32"/>
          <w:szCs w:val="32"/>
          <w:lang w:val="en-US" w:eastAsia="zh-CN"/>
        </w:rPr>
        <w:t>活动专案电子档</w:t>
      </w:r>
      <w:r>
        <w:rPr>
          <w:rFonts w:hint="eastAsia" w:eastAsia="仿宋_GB2312"/>
          <w:sz w:val="32"/>
          <w:szCs w:val="32"/>
        </w:rPr>
        <w:t>报</w:t>
      </w:r>
      <w:r>
        <w:rPr>
          <w:rFonts w:hint="eastAsia" w:eastAsia="仿宋_GB2312"/>
          <w:sz w:val="32"/>
          <w:szCs w:val="32"/>
          <w:lang w:val="en-US" w:eastAsia="zh-CN"/>
        </w:rPr>
        <w:t>市</w:t>
      </w:r>
      <w:r>
        <w:rPr>
          <w:rFonts w:hint="eastAsia" w:eastAsia="仿宋_GB2312"/>
          <w:sz w:val="32"/>
          <w:szCs w:val="32"/>
        </w:rPr>
        <w:t>总宣传教育部。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把握导向、注重创新。要坚持守正创新，强化政治引领，突出思想引导，创新活动载体，丰富活动形式，坚持理论宣讲与特色文化活动相融合，寓教于乐，组织文艺工作者精心编排“职工演、演职工”的文艺节目，以小品、歌曲、戏曲、快板、书画等职工群众喜闻乐见的文艺形式，生动阐释和广泛宣传党的创新理论、形势政策任务、经济社会发展成就以及</w:t>
      </w:r>
      <w:r>
        <w:rPr>
          <w:rFonts w:hint="eastAsia" w:eastAsia="仿宋_GB2312"/>
          <w:sz w:val="32"/>
          <w:szCs w:val="32"/>
          <w:lang w:val="en-US" w:eastAsia="zh-CN"/>
        </w:rPr>
        <w:t>劳动模范、大国工匠的成长</w:t>
      </w:r>
      <w:r>
        <w:rPr>
          <w:rFonts w:hint="eastAsia" w:eastAsia="仿宋_GB2312"/>
          <w:sz w:val="32"/>
          <w:szCs w:val="32"/>
        </w:rPr>
        <w:t>故事。有效帮助职工</w:t>
      </w:r>
      <w:r>
        <w:rPr>
          <w:rFonts w:hint="eastAsia" w:eastAsia="仿宋_GB2312"/>
          <w:sz w:val="32"/>
          <w:szCs w:val="32"/>
          <w:lang w:val="en-US" w:eastAsia="zh-CN"/>
        </w:rPr>
        <w:t>集累经验、增长才干、培养</w:t>
      </w:r>
      <w:r>
        <w:rPr>
          <w:rFonts w:hint="eastAsia" w:eastAsia="仿宋_GB2312"/>
          <w:sz w:val="32"/>
          <w:szCs w:val="32"/>
        </w:rPr>
        <w:t>兴趣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提升技能。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统一标识、打造品牌。各级工会组织文化进基层时在背景</w:t>
      </w:r>
      <w:r>
        <w:rPr>
          <w:rFonts w:hint="eastAsia" w:eastAsia="仿宋_GB2312"/>
          <w:sz w:val="32"/>
          <w:szCs w:val="32"/>
          <w:lang w:val="en-US" w:eastAsia="zh-CN"/>
        </w:rPr>
        <w:t>屏统一字幕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  <w:lang w:val="en-US" w:eastAsia="zh-CN"/>
        </w:rPr>
        <w:t>平顶山</w:t>
      </w:r>
      <w:r>
        <w:rPr>
          <w:rFonts w:hint="eastAsia" w:eastAsia="仿宋_GB2312"/>
          <w:sz w:val="32"/>
          <w:szCs w:val="32"/>
        </w:rPr>
        <w:t>工会</w:t>
      </w:r>
      <w:r>
        <w:rPr>
          <w:rFonts w:hint="eastAsia" w:eastAsia="仿宋_GB2312"/>
          <w:sz w:val="32"/>
          <w:szCs w:val="32"/>
          <w:lang w:eastAsia="zh-CN"/>
        </w:rPr>
        <w:t>“</w:t>
      </w:r>
      <w:r>
        <w:rPr>
          <w:rFonts w:hint="eastAsia" w:eastAsia="仿宋_GB2312"/>
          <w:sz w:val="32"/>
          <w:szCs w:val="32"/>
        </w:rPr>
        <w:t>中国梦·劳动美·工会情</w:t>
      </w:r>
      <w:r>
        <w:rPr>
          <w:rFonts w:hint="eastAsia" w:eastAsia="仿宋_GB2312"/>
          <w:sz w:val="32"/>
          <w:szCs w:val="32"/>
          <w:lang w:eastAsia="zh-CN"/>
        </w:rPr>
        <w:t>”</w:t>
      </w:r>
      <w:r>
        <w:rPr>
          <w:rFonts w:hint="eastAsia" w:eastAsia="仿宋_GB2312"/>
          <w:sz w:val="32"/>
          <w:szCs w:val="32"/>
          <w:lang w:val="en-US" w:eastAsia="zh-CN"/>
        </w:rPr>
        <w:t>千</w:t>
      </w:r>
      <w:r>
        <w:rPr>
          <w:rFonts w:hint="eastAsia" w:eastAsia="仿宋_GB2312"/>
          <w:sz w:val="32"/>
          <w:szCs w:val="32"/>
        </w:rPr>
        <w:t>场文化活动进基层</w:t>
      </w:r>
      <w:r>
        <w:rPr>
          <w:rFonts w:hint="eastAsia" w:eastAsia="仿宋_GB2312"/>
          <w:sz w:val="32"/>
          <w:szCs w:val="32"/>
          <w:lang w:val="en-US" w:eastAsia="zh-CN"/>
        </w:rPr>
        <w:t>---加（某某单位专场）字样，</w:t>
      </w:r>
      <w:r>
        <w:rPr>
          <w:rFonts w:hint="eastAsia" w:eastAsia="仿宋_GB2312"/>
          <w:sz w:val="32"/>
          <w:szCs w:val="32"/>
        </w:rPr>
        <w:t>形成统一标识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打造</w:t>
      </w:r>
      <w:r>
        <w:rPr>
          <w:rFonts w:hint="eastAsia" w:eastAsia="仿宋_GB2312"/>
          <w:sz w:val="32"/>
          <w:szCs w:val="32"/>
        </w:rPr>
        <w:t>品牌效应。</w:t>
      </w:r>
      <w:r>
        <w:rPr>
          <w:rFonts w:hint="eastAsia" w:eastAsia="仿宋_GB2312"/>
          <w:sz w:val="32"/>
          <w:szCs w:val="32"/>
          <w:lang w:val="en-US" w:eastAsia="zh-CN"/>
        </w:rPr>
        <w:t>千</w:t>
      </w:r>
      <w:r>
        <w:rPr>
          <w:rFonts w:hint="eastAsia" w:eastAsia="仿宋_GB2312"/>
          <w:sz w:val="32"/>
          <w:szCs w:val="32"/>
        </w:rPr>
        <w:t>场文化活动进基层时间跨度长、服务范围广，各级工会要突出地方特色，鼓励职工原创文化作品，注重打造职工文化品牌。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强化督导、推动落实。加强对活动开展的全程督导，从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送文化进基层活动全面启动，</w:t>
      </w:r>
      <w:r>
        <w:rPr>
          <w:rFonts w:hint="eastAsia"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市</w:t>
      </w:r>
      <w:r>
        <w:rPr>
          <w:rFonts w:hint="eastAsia" w:eastAsia="仿宋_GB2312"/>
          <w:sz w:val="32"/>
          <w:szCs w:val="32"/>
        </w:rPr>
        <w:t>总组织调研督查，对各地各单位活动开展的质量和效果进行评估，</w:t>
      </w:r>
      <w:r>
        <w:rPr>
          <w:rFonts w:hint="eastAsia" w:eastAsia="仿宋_GB2312"/>
          <w:sz w:val="32"/>
          <w:szCs w:val="32"/>
          <w:lang w:val="en-US" w:eastAsia="zh-CN"/>
        </w:rPr>
        <w:t>收集活动总结及相关数据。</w:t>
      </w:r>
      <w:r>
        <w:rPr>
          <w:rFonts w:hint="eastAsia" w:eastAsia="仿宋_GB2312"/>
          <w:sz w:val="32"/>
          <w:szCs w:val="32"/>
        </w:rPr>
        <w:t>对</w:t>
      </w:r>
      <w:r>
        <w:rPr>
          <w:rFonts w:hint="eastAsia" w:eastAsia="仿宋_GB2312"/>
          <w:sz w:val="32"/>
          <w:szCs w:val="32"/>
          <w:lang w:val="en-US" w:eastAsia="zh-CN"/>
        </w:rPr>
        <w:t>各单位千场文化活动进基层专项工作完成情况</w:t>
      </w:r>
      <w:r>
        <w:rPr>
          <w:rFonts w:hint="eastAsia" w:eastAsia="仿宋_GB2312"/>
          <w:sz w:val="32"/>
          <w:szCs w:val="32"/>
        </w:rPr>
        <w:t>进行通报。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广泛宣传、营造氛围。要充分利用报纸、电视、广播、网络、微博微信、APP等加强宣传，广泛宣传</w:t>
      </w:r>
      <w:r>
        <w:rPr>
          <w:rFonts w:hint="eastAsia" w:eastAsia="仿宋_GB2312"/>
          <w:sz w:val="32"/>
          <w:szCs w:val="32"/>
          <w:lang w:val="en-US" w:eastAsia="zh-CN"/>
        </w:rPr>
        <w:t>开展</w:t>
      </w:r>
      <w:r>
        <w:rPr>
          <w:rFonts w:hint="eastAsia" w:eastAsia="仿宋_GB2312"/>
          <w:sz w:val="32"/>
          <w:szCs w:val="32"/>
        </w:rPr>
        <w:t>工会</w:t>
      </w:r>
      <w:r>
        <w:rPr>
          <w:rFonts w:hint="eastAsia" w:eastAsia="仿宋_GB2312"/>
          <w:sz w:val="32"/>
          <w:szCs w:val="32"/>
          <w:lang w:val="en-US" w:eastAsia="zh-CN"/>
        </w:rPr>
        <w:t>千</w:t>
      </w:r>
      <w:r>
        <w:rPr>
          <w:rFonts w:hint="eastAsia" w:eastAsia="仿宋_GB2312"/>
          <w:sz w:val="32"/>
          <w:szCs w:val="32"/>
        </w:rPr>
        <w:t>场文化活动进基层中各级工会好的做法和成功经验，营造有利于加强职工文艺队伍建设、促进职工文化事业繁荣发展的良好氛围。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联系人：</w:t>
      </w:r>
      <w:r>
        <w:rPr>
          <w:rFonts w:hint="eastAsia" w:eastAsia="仿宋_GB2312"/>
          <w:sz w:val="32"/>
          <w:szCs w:val="32"/>
          <w:lang w:val="en-US" w:eastAsia="zh-CN"/>
        </w:rPr>
        <w:t>王长坡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  <w:lang w:val="en-US" w:eastAsia="zh-CN"/>
        </w:rPr>
        <w:t>袁亚超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联系电话：037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hint="eastAsia" w:eastAsia="仿宋_GB2312"/>
          <w:sz w:val="32"/>
          <w:szCs w:val="32"/>
        </w:rPr>
        <w:t>-</w:t>
      </w:r>
      <w:r>
        <w:rPr>
          <w:rFonts w:hint="eastAsia" w:eastAsia="仿宋_GB2312"/>
          <w:sz w:val="32"/>
          <w:szCs w:val="32"/>
          <w:lang w:val="en-US" w:eastAsia="zh-CN"/>
        </w:rPr>
        <w:t xml:space="preserve">3799611    </w:t>
      </w:r>
      <w:r>
        <w:rPr>
          <w:rFonts w:hint="eastAsia" w:eastAsia="仿宋_GB2312"/>
          <w:sz w:val="32"/>
          <w:szCs w:val="32"/>
        </w:rPr>
        <w:t>邮箱：</w:t>
      </w:r>
      <w:r>
        <w:rPr>
          <w:rFonts w:hint="eastAsia" w:eastAsia="仿宋_GB2312"/>
          <w:sz w:val="32"/>
          <w:szCs w:val="32"/>
          <w:lang w:val="en-US" w:eastAsia="zh-CN"/>
        </w:rPr>
        <w:t>pds</w:t>
      </w:r>
      <w:r>
        <w:rPr>
          <w:rFonts w:hint="eastAsia" w:eastAsia="仿宋_GB2312"/>
          <w:sz w:val="32"/>
          <w:szCs w:val="32"/>
        </w:rPr>
        <w:t>ghxjb@163.com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附件1：“中国梦·劳动美·工会情”</w:t>
      </w:r>
      <w:r>
        <w:rPr>
          <w:rFonts w:hint="eastAsia" w:eastAsia="仿宋_GB2312"/>
          <w:sz w:val="32"/>
          <w:szCs w:val="32"/>
          <w:lang w:val="en-US" w:eastAsia="zh-CN"/>
        </w:rPr>
        <w:t>平顶山</w:t>
      </w:r>
      <w:r>
        <w:rPr>
          <w:rFonts w:hint="eastAsia" w:eastAsia="仿宋_GB2312"/>
          <w:sz w:val="32"/>
          <w:szCs w:val="32"/>
        </w:rPr>
        <w:t>工会</w:t>
      </w:r>
      <w:r>
        <w:rPr>
          <w:rFonts w:hint="eastAsia" w:eastAsia="仿宋_GB2312"/>
          <w:sz w:val="32"/>
          <w:szCs w:val="32"/>
          <w:lang w:val="en-US" w:eastAsia="zh-CN"/>
        </w:rPr>
        <w:t>千</w:t>
      </w:r>
      <w:r>
        <w:rPr>
          <w:rFonts w:hint="eastAsia" w:eastAsia="仿宋_GB2312"/>
          <w:sz w:val="32"/>
          <w:szCs w:val="32"/>
        </w:rPr>
        <w:t>场文化活动进基层任务分解表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附件2：“中国梦·劳动美·工会情”</w:t>
      </w:r>
      <w:r>
        <w:rPr>
          <w:rFonts w:hint="eastAsia" w:eastAsia="仿宋_GB2312"/>
          <w:sz w:val="32"/>
          <w:szCs w:val="32"/>
          <w:lang w:val="en-US" w:eastAsia="zh-CN"/>
        </w:rPr>
        <w:t>平顶山</w:t>
      </w:r>
      <w:r>
        <w:rPr>
          <w:rFonts w:hint="eastAsia" w:eastAsia="仿宋_GB2312"/>
          <w:sz w:val="32"/>
          <w:szCs w:val="32"/>
        </w:rPr>
        <w:t>工会</w:t>
      </w:r>
      <w:r>
        <w:rPr>
          <w:rFonts w:hint="eastAsia" w:eastAsia="仿宋_GB2312"/>
          <w:sz w:val="32"/>
          <w:szCs w:val="32"/>
          <w:lang w:val="en-US" w:eastAsia="zh-CN"/>
        </w:rPr>
        <w:t>千</w:t>
      </w:r>
      <w:r>
        <w:rPr>
          <w:rFonts w:hint="eastAsia" w:eastAsia="仿宋_GB2312"/>
          <w:sz w:val="32"/>
          <w:szCs w:val="32"/>
        </w:rPr>
        <w:t>场文化活动进基层情况统计表</w:t>
      </w:r>
    </w:p>
    <w:p>
      <w:pPr>
        <w:pStyle w:val="6"/>
        <w:spacing w:line="560" w:lineRule="exac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1</w:t>
      </w:r>
    </w:p>
    <w:p>
      <w:pPr>
        <w:pStyle w:val="6"/>
        <w:spacing w:line="520" w:lineRule="exact"/>
        <w:jc w:val="center"/>
        <w:rPr>
          <w:rFonts w:hint="eastAsia" w:eastAsia="方正小标宋简体"/>
          <w:b w:val="0"/>
          <w:bCs w:val="0"/>
          <w:sz w:val="44"/>
          <w:szCs w:val="44"/>
        </w:rPr>
      </w:pPr>
      <w:r>
        <w:rPr>
          <w:rFonts w:hint="eastAsia" w:eastAsia="方正小标宋简体"/>
          <w:b/>
          <w:bCs/>
          <w:sz w:val="44"/>
          <w:szCs w:val="44"/>
        </w:rPr>
        <w:t xml:space="preserve"> </w:t>
      </w:r>
      <w:r>
        <w:rPr>
          <w:rFonts w:hint="eastAsia" w:eastAsia="方正小标宋简体"/>
          <w:b w:val="0"/>
          <w:bCs w:val="0"/>
          <w:sz w:val="44"/>
          <w:szCs w:val="44"/>
        </w:rPr>
        <w:t>“中国梦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·</w:t>
      </w:r>
      <w:r>
        <w:rPr>
          <w:rFonts w:hint="eastAsia" w:eastAsia="方正小标宋简体"/>
          <w:b w:val="0"/>
          <w:bCs w:val="0"/>
          <w:sz w:val="44"/>
          <w:szCs w:val="44"/>
        </w:rPr>
        <w:t>劳动美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·</w:t>
      </w:r>
      <w:r>
        <w:rPr>
          <w:rFonts w:hint="eastAsia" w:eastAsia="方正小标宋简体"/>
          <w:b w:val="0"/>
          <w:bCs w:val="0"/>
          <w:sz w:val="44"/>
          <w:szCs w:val="44"/>
        </w:rPr>
        <w:t>工会情”</w:t>
      </w:r>
      <w:r>
        <w:rPr>
          <w:rFonts w:hint="eastAsia" w:eastAsia="方正小标宋简体"/>
          <w:b w:val="0"/>
          <w:bCs w:val="0"/>
          <w:sz w:val="44"/>
          <w:szCs w:val="44"/>
          <w:lang w:val="en-US" w:eastAsia="zh-CN"/>
        </w:rPr>
        <w:t>平顶山</w:t>
      </w:r>
      <w:r>
        <w:rPr>
          <w:rFonts w:hint="eastAsia" w:eastAsia="方正小标宋简体"/>
          <w:b w:val="0"/>
          <w:bCs w:val="0"/>
          <w:sz w:val="44"/>
          <w:szCs w:val="44"/>
        </w:rPr>
        <w:t>工会</w:t>
      </w:r>
    </w:p>
    <w:p>
      <w:pPr>
        <w:pStyle w:val="6"/>
        <w:spacing w:line="520" w:lineRule="exact"/>
        <w:jc w:val="center"/>
        <w:rPr>
          <w:rFonts w:eastAsia="方正小标宋简体"/>
          <w:b w:val="0"/>
          <w:bCs w:val="0"/>
          <w:sz w:val="44"/>
          <w:szCs w:val="44"/>
        </w:rPr>
      </w:pPr>
      <w:r>
        <w:rPr>
          <w:rFonts w:hint="eastAsia" w:eastAsia="方正小标宋简体"/>
          <w:b w:val="0"/>
          <w:bCs w:val="0"/>
          <w:sz w:val="44"/>
          <w:szCs w:val="44"/>
          <w:lang w:val="en-US" w:eastAsia="zh-CN"/>
        </w:rPr>
        <w:t>千</w:t>
      </w:r>
      <w:r>
        <w:rPr>
          <w:rFonts w:hint="eastAsia" w:eastAsia="方正小标宋简体"/>
          <w:b w:val="0"/>
          <w:bCs w:val="0"/>
          <w:sz w:val="44"/>
          <w:szCs w:val="44"/>
        </w:rPr>
        <w:t>场文化活动进基层任务分解表</w:t>
      </w:r>
    </w:p>
    <w:tbl>
      <w:tblPr>
        <w:tblStyle w:val="5"/>
        <w:tblW w:w="8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863"/>
        <w:gridCol w:w="2640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Times New Roman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Times New Roman" w:eastAsia="黑体"/>
                <w:kern w:val="0"/>
                <w:sz w:val="30"/>
                <w:szCs w:val="30"/>
              </w:rPr>
              <w:t>单</w:t>
            </w:r>
            <w:r>
              <w:rPr>
                <w:rFonts w:hint="eastAsia" w:ascii="Times New Roman" w:hAnsi="Times New Roman" w:eastAsia="黑体"/>
                <w:kern w:val="0"/>
                <w:sz w:val="30"/>
                <w:szCs w:val="30"/>
              </w:rPr>
              <w:t>  </w:t>
            </w:r>
            <w:r>
              <w:rPr>
                <w:rFonts w:hint="eastAsia" w:ascii="黑体" w:hAnsi="Times New Roman" w:eastAsia="黑体"/>
                <w:kern w:val="0"/>
                <w:sz w:val="30"/>
                <w:szCs w:val="30"/>
              </w:rPr>
              <w:t xml:space="preserve"> 位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Times New Roman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Times New Roman" w:eastAsia="黑体"/>
                <w:kern w:val="0"/>
                <w:sz w:val="30"/>
                <w:szCs w:val="30"/>
              </w:rPr>
              <w:t>“五送”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Times New Roman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Times New Roman" w:eastAsia="黑体"/>
                <w:kern w:val="0"/>
                <w:sz w:val="30"/>
                <w:szCs w:val="30"/>
              </w:rPr>
              <w:t>活动场次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Times New Roman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Times New Roman" w:eastAsia="黑体"/>
                <w:kern w:val="0"/>
                <w:sz w:val="30"/>
                <w:szCs w:val="30"/>
              </w:rPr>
              <w:t>单  位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Times New Roman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Times New Roman" w:eastAsia="黑体"/>
                <w:kern w:val="0"/>
                <w:sz w:val="30"/>
                <w:szCs w:val="30"/>
              </w:rPr>
              <w:t>“五送”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Times New Roman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Times New Roman" w:eastAsia="黑体"/>
                <w:kern w:val="0"/>
                <w:sz w:val="30"/>
                <w:szCs w:val="30"/>
              </w:rPr>
              <w:t>活动场次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汝州市总工会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财贸工会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舞钢市总工会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文教卫工会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宝丰县总工会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轻纺工会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郏县总工会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市直工会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鲁山县总工会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中国平煤神马集团工会委员会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叶县总工会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舞阳钢铁有限责任公司工会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新华区总工会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平顶山姚孟发电有限责任公司工会委员会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卫东区总工会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国家电投集团平顶山热电有限公司工会委员会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湛河区总工会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河南江河机械有限责任公司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石龙区总工会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河南安钢集团舞阳矿业有限责任公司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城乡一体化示范区工会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国网河南省电力公司平顶山供电公司工会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lightGray"/>
                <w:shd w:val="pct10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高新技术产业开发区工会联合会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lightGray"/>
                <w:shd w:val="pct10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平顶山热力集团供热有限公司工会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工交工会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国家电投集团河南电力有限公司平顶山发电分公司工会委员会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建设工会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平高集团有限公司工会委员会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平顶山市总工会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总计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600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6"/>
        <w:spacing w:line="580" w:lineRule="exact"/>
        <w:rPr>
          <w:rFonts w:eastAsia="方正小标宋简体"/>
          <w:b/>
          <w:bCs/>
          <w:sz w:val="44"/>
          <w:szCs w:val="44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pStyle w:val="6"/>
        <w:spacing w:line="580" w:lineRule="exact"/>
        <w:jc w:val="center"/>
        <w:rPr>
          <w:rFonts w:eastAsia="方正小标宋简体"/>
          <w:b w:val="0"/>
          <w:bCs w:val="0"/>
          <w:sz w:val="44"/>
          <w:szCs w:val="44"/>
        </w:rPr>
      </w:pPr>
      <w:r>
        <w:rPr>
          <w:rFonts w:hint="eastAsia" w:eastAsia="方正小标宋简体"/>
          <w:b w:val="0"/>
          <w:bCs w:val="0"/>
          <w:sz w:val="44"/>
          <w:szCs w:val="44"/>
        </w:rPr>
        <w:t>“中国梦·劳动美·工会情”</w:t>
      </w:r>
    </w:p>
    <w:p>
      <w:pPr>
        <w:pStyle w:val="6"/>
        <w:spacing w:line="580" w:lineRule="exact"/>
        <w:jc w:val="center"/>
        <w:rPr>
          <w:rFonts w:hint="eastAsia" w:eastAsia="方正小标宋简体"/>
          <w:b w:val="0"/>
          <w:bCs w:val="0"/>
          <w:sz w:val="28"/>
          <w:szCs w:val="28"/>
        </w:rPr>
      </w:pPr>
      <w:r>
        <w:rPr>
          <w:rFonts w:hint="eastAsia" w:eastAsia="方正小标宋简体"/>
          <w:b w:val="0"/>
          <w:bCs w:val="0"/>
          <w:sz w:val="44"/>
          <w:szCs w:val="44"/>
          <w:lang w:val="en-US" w:eastAsia="zh-CN"/>
        </w:rPr>
        <w:t>平顶山</w:t>
      </w:r>
      <w:r>
        <w:rPr>
          <w:rFonts w:hint="eastAsia" w:eastAsia="方正小标宋简体"/>
          <w:b w:val="0"/>
          <w:bCs w:val="0"/>
          <w:sz w:val="44"/>
          <w:szCs w:val="44"/>
        </w:rPr>
        <w:t>工会</w:t>
      </w:r>
      <w:r>
        <w:rPr>
          <w:rFonts w:hint="eastAsia" w:eastAsia="方正小标宋简体"/>
          <w:b w:val="0"/>
          <w:bCs w:val="0"/>
          <w:sz w:val="44"/>
          <w:szCs w:val="44"/>
          <w:lang w:val="en-US" w:eastAsia="zh-CN"/>
        </w:rPr>
        <w:t>千</w:t>
      </w:r>
      <w:r>
        <w:rPr>
          <w:rFonts w:hint="eastAsia" w:eastAsia="方正小标宋简体"/>
          <w:b w:val="0"/>
          <w:bCs w:val="0"/>
          <w:sz w:val="44"/>
          <w:szCs w:val="44"/>
        </w:rPr>
        <w:t>场文化活动进基层情况统计表</w:t>
      </w:r>
    </w:p>
    <w:p>
      <w:pPr>
        <w:pStyle w:val="6"/>
        <w:spacing w:line="560" w:lineRule="exact"/>
        <w:jc w:val="left"/>
        <w:rPr>
          <w:rFonts w:hint="eastAsia" w:eastAsia="方正小标宋简体"/>
          <w:b/>
          <w:bCs/>
          <w:sz w:val="28"/>
          <w:szCs w:val="28"/>
        </w:rPr>
      </w:pPr>
    </w:p>
    <w:p>
      <w:pPr>
        <w:pStyle w:val="6"/>
        <w:spacing w:line="560" w:lineRule="exact"/>
        <w:jc w:val="left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填报单位（盖章）：                  填报人：          联系电话：              填报时间：</w:t>
      </w:r>
    </w:p>
    <w:tbl>
      <w:tblPr>
        <w:tblStyle w:val="5"/>
        <w:tblW w:w="14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4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2562" w:type="dxa"/>
            <w:gridSpan w:val="6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送文艺</w:t>
            </w:r>
          </w:p>
        </w:tc>
        <w:tc>
          <w:tcPr>
            <w:tcW w:w="2562" w:type="dxa"/>
            <w:gridSpan w:val="6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送电影</w:t>
            </w:r>
          </w:p>
        </w:tc>
        <w:tc>
          <w:tcPr>
            <w:tcW w:w="2562" w:type="dxa"/>
            <w:gridSpan w:val="6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送书画</w:t>
            </w:r>
          </w:p>
        </w:tc>
        <w:tc>
          <w:tcPr>
            <w:tcW w:w="2562" w:type="dxa"/>
            <w:gridSpan w:val="6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送培训</w:t>
            </w:r>
          </w:p>
        </w:tc>
        <w:tc>
          <w:tcPr>
            <w:tcW w:w="2562" w:type="dxa"/>
            <w:gridSpan w:val="6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送讲座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8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场次</w:t>
            </w:r>
          </w:p>
        </w:tc>
        <w:tc>
          <w:tcPr>
            <w:tcW w:w="128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参加人数</w:t>
            </w:r>
          </w:p>
        </w:tc>
        <w:tc>
          <w:tcPr>
            <w:tcW w:w="128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场次</w:t>
            </w:r>
          </w:p>
        </w:tc>
        <w:tc>
          <w:tcPr>
            <w:tcW w:w="128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参加人数</w:t>
            </w:r>
          </w:p>
        </w:tc>
        <w:tc>
          <w:tcPr>
            <w:tcW w:w="128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场次</w:t>
            </w:r>
          </w:p>
        </w:tc>
        <w:tc>
          <w:tcPr>
            <w:tcW w:w="128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参加人数</w:t>
            </w:r>
          </w:p>
        </w:tc>
        <w:tc>
          <w:tcPr>
            <w:tcW w:w="128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场次</w:t>
            </w:r>
          </w:p>
        </w:tc>
        <w:tc>
          <w:tcPr>
            <w:tcW w:w="128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参加人数</w:t>
            </w:r>
          </w:p>
        </w:tc>
        <w:tc>
          <w:tcPr>
            <w:tcW w:w="128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场次</w:t>
            </w:r>
          </w:p>
        </w:tc>
        <w:tc>
          <w:tcPr>
            <w:tcW w:w="128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参加人数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Calibri" w:hAnsi="Calibri"/>
                <w:b/>
                <w:bCs/>
                <w:kern w:val="2"/>
                <w:sz w:val="21"/>
                <w:szCs w:val="21"/>
              </w:rPr>
              <w:t>县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="Calibri" w:hAnsi="Calibri" w:eastAsia="宋体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/>
                <w:b/>
                <w:bCs/>
                <w:kern w:val="2"/>
                <w:sz w:val="21"/>
                <w:szCs w:val="21"/>
                <w:lang w:val="en-US" w:eastAsia="zh-CN"/>
              </w:rPr>
              <w:t>市区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Calibri" w:hAnsi="Calibri"/>
                <w:b/>
                <w:bCs/>
                <w:kern w:val="2"/>
                <w:sz w:val="21"/>
                <w:szCs w:val="21"/>
              </w:rPr>
              <w:t>基层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Calibri" w:hAnsi="Calibri"/>
                <w:b/>
                <w:bCs/>
                <w:kern w:val="2"/>
                <w:sz w:val="21"/>
                <w:szCs w:val="21"/>
              </w:rPr>
              <w:t>县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="Calibri" w:hAnsi="Calibri" w:eastAsia="宋体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/>
                <w:b/>
                <w:bCs/>
                <w:kern w:val="2"/>
                <w:sz w:val="21"/>
                <w:szCs w:val="21"/>
                <w:lang w:val="en-US" w:eastAsia="zh-CN"/>
              </w:rPr>
              <w:t>市区</w:t>
            </w:r>
          </w:p>
        </w:tc>
        <w:tc>
          <w:tcPr>
            <w:tcW w:w="4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Calibri" w:hAnsi="Calibri"/>
                <w:b/>
                <w:bCs/>
                <w:kern w:val="2"/>
                <w:sz w:val="21"/>
                <w:szCs w:val="21"/>
              </w:rPr>
              <w:t>基层</w:t>
            </w:r>
          </w:p>
        </w:tc>
        <w:tc>
          <w:tcPr>
            <w:tcW w:w="42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Calibri" w:hAnsi="Calibri"/>
                <w:b/>
                <w:bCs/>
                <w:kern w:val="2"/>
                <w:sz w:val="21"/>
                <w:szCs w:val="21"/>
              </w:rPr>
              <w:t>县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="Calibri" w:hAnsi="Calibri" w:eastAsia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/>
                <w:b/>
                <w:bCs/>
                <w:kern w:val="2"/>
                <w:sz w:val="21"/>
                <w:szCs w:val="21"/>
                <w:lang w:val="en-US" w:eastAsia="zh-CN"/>
              </w:rPr>
              <w:t>市区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Calibri" w:hAnsi="Calibri"/>
                <w:b/>
                <w:bCs/>
                <w:kern w:val="2"/>
                <w:sz w:val="21"/>
                <w:szCs w:val="21"/>
              </w:rPr>
              <w:t>基层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Calibri" w:hAnsi="Calibri"/>
                <w:b/>
                <w:bCs/>
                <w:kern w:val="2"/>
                <w:sz w:val="21"/>
                <w:szCs w:val="21"/>
              </w:rPr>
              <w:t>县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="Calibri" w:hAnsi="Calibri" w:eastAsia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/>
                <w:b/>
                <w:bCs/>
                <w:kern w:val="2"/>
                <w:sz w:val="21"/>
                <w:szCs w:val="21"/>
                <w:lang w:val="en-US" w:eastAsia="zh-CN"/>
              </w:rPr>
              <w:t>市区</w:t>
            </w:r>
          </w:p>
        </w:tc>
        <w:tc>
          <w:tcPr>
            <w:tcW w:w="4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Calibri" w:hAnsi="Calibri"/>
                <w:b/>
                <w:bCs/>
                <w:kern w:val="2"/>
                <w:sz w:val="21"/>
                <w:szCs w:val="21"/>
              </w:rPr>
              <w:t>基层</w:t>
            </w:r>
          </w:p>
        </w:tc>
        <w:tc>
          <w:tcPr>
            <w:tcW w:w="42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Calibri" w:hAnsi="Calibri"/>
                <w:b/>
                <w:bCs/>
                <w:kern w:val="2"/>
                <w:sz w:val="21"/>
                <w:szCs w:val="21"/>
              </w:rPr>
              <w:t>县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="Calibri" w:hAnsi="Calibri" w:eastAsia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/>
                <w:b/>
                <w:bCs/>
                <w:kern w:val="2"/>
                <w:sz w:val="21"/>
                <w:szCs w:val="21"/>
                <w:lang w:val="en-US" w:eastAsia="zh-CN"/>
              </w:rPr>
              <w:t>市区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Calibri" w:hAnsi="Calibri"/>
                <w:b/>
                <w:bCs/>
                <w:kern w:val="2"/>
                <w:sz w:val="21"/>
                <w:szCs w:val="21"/>
              </w:rPr>
              <w:t>基层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="Calibri" w:hAnsi="Calibri" w:eastAsia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/>
                <w:b/>
                <w:bCs/>
                <w:kern w:val="2"/>
                <w:sz w:val="21"/>
                <w:szCs w:val="21"/>
                <w:lang w:val="en-US" w:eastAsia="zh-CN"/>
              </w:rPr>
              <w:t>县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="Calibri" w:hAnsi="Calibri" w:eastAsia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/>
                <w:b/>
                <w:bCs/>
                <w:kern w:val="2"/>
                <w:sz w:val="21"/>
                <w:szCs w:val="21"/>
                <w:lang w:val="en-US" w:eastAsia="zh-CN"/>
              </w:rPr>
              <w:t>市区</w:t>
            </w:r>
          </w:p>
        </w:tc>
        <w:tc>
          <w:tcPr>
            <w:tcW w:w="4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Calibri" w:hAnsi="Calibri"/>
                <w:b/>
                <w:bCs/>
                <w:kern w:val="2"/>
                <w:sz w:val="21"/>
                <w:szCs w:val="21"/>
              </w:rPr>
              <w:t>基层</w:t>
            </w:r>
          </w:p>
        </w:tc>
        <w:tc>
          <w:tcPr>
            <w:tcW w:w="42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Calibri" w:hAnsi="Calibri"/>
                <w:b/>
                <w:bCs/>
                <w:kern w:val="2"/>
                <w:sz w:val="21"/>
                <w:szCs w:val="21"/>
              </w:rPr>
              <w:t>县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="Calibri" w:hAnsi="Calibri" w:eastAsia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/>
                <w:b/>
                <w:bCs/>
                <w:kern w:val="2"/>
                <w:sz w:val="21"/>
                <w:szCs w:val="21"/>
                <w:lang w:val="en-US" w:eastAsia="zh-CN"/>
              </w:rPr>
              <w:t>市区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Calibri" w:hAnsi="Calibri"/>
                <w:b/>
                <w:bCs/>
                <w:kern w:val="2"/>
                <w:sz w:val="21"/>
                <w:szCs w:val="21"/>
              </w:rPr>
              <w:t>基层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Calibri" w:hAnsi="Calibri"/>
                <w:b/>
                <w:bCs/>
                <w:kern w:val="2"/>
                <w:sz w:val="21"/>
                <w:szCs w:val="21"/>
              </w:rPr>
              <w:t>县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="Calibri" w:hAnsi="Calibri" w:eastAsia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/>
                <w:b/>
                <w:bCs/>
                <w:kern w:val="2"/>
                <w:sz w:val="21"/>
                <w:szCs w:val="21"/>
                <w:lang w:val="en-US" w:eastAsia="zh-CN"/>
              </w:rPr>
              <w:t>市区</w:t>
            </w:r>
          </w:p>
        </w:tc>
        <w:tc>
          <w:tcPr>
            <w:tcW w:w="4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Calibri" w:hAnsi="Calibri"/>
                <w:b/>
                <w:bCs/>
                <w:kern w:val="2"/>
                <w:sz w:val="21"/>
                <w:szCs w:val="21"/>
              </w:rPr>
              <w:t>基层</w:t>
            </w:r>
          </w:p>
        </w:tc>
        <w:tc>
          <w:tcPr>
            <w:tcW w:w="42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Calibri" w:hAnsi="Calibri"/>
                <w:b/>
                <w:bCs/>
                <w:kern w:val="2"/>
                <w:sz w:val="21"/>
                <w:szCs w:val="21"/>
              </w:rPr>
              <w:t>县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="Calibri" w:hAnsi="Calibri" w:eastAsia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/>
                <w:b/>
                <w:bCs/>
                <w:kern w:val="2"/>
                <w:sz w:val="21"/>
                <w:szCs w:val="21"/>
                <w:lang w:val="en-US" w:eastAsia="zh-CN"/>
              </w:rPr>
              <w:t>市区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Calibri" w:hAnsi="Calibri"/>
                <w:b/>
                <w:bCs/>
                <w:kern w:val="2"/>
                <w:sz w:val="21"/>
                <w:szCs w:val="21"/>
              </w:rPr>
              <w:t>基层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Calibri" w:hAnsi="Calibri"/>
                <w:b/>
                <w:bCs/>
                <w:kern w:val="2"/>
                <w:sz w:val="21"/>
                <w:szCs w:val="21"/>
              </w:rPr>
              <w:t>县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="Calibri" w:hAnsi="Calibri" w:eastAsia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/>
                <w:b/>
                <w:bCs/>
                <w:kern w:val="2"/>
                <w:sz w:val="21"/>
                <w:szCs w:val="21"/>
                <w:lang w:val="en-US" w:eastAsia="zh-CN"/>
              </w:rPr>
              <w:t>市区</w:t>
            </w:r>
          </w:p>
        </w:tc>
        <w:tc>
          <w:tcPr>
            <w:tcW w:w="4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Calibri" w:hAnsi="Calibri"/>
                <w:b/>
                <w:bCs/>
                <w:kern w:val="2"/>
                <w:sz w:val="21"/>
                <w:szCs w:val="21"/>
              </w:rPr>
              <w:t>基层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4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4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4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4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4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4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4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4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4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合计</w:t>
            </w:r>
          </w:p>
        </w:tc>
        <w:tc>
          <w:tcPr>
            <w:tcW w:w="128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r>
        <w:rPr>
          <w:rFonts w:hint="eastAsia" w:ascii="楷体" w:hAnsi="楷体" w:eastAsia="楷体" w:cs="楷体"/>
          <w:b/>
          <w:bCs/>
          <w:sz w:val="28"/>
          <w:szCs w:val="28"/>
        </w:rPr>
        <w:t>分管领导签字：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814F0"/>
    <w:rsid w:val="01035B35"/>
    <w:rsid w:val="03E1771E"/>
    <w:rsid w:val="04784B1F"/>
    <w:rsid w:val="05843FCA"/>
    <w:rsid w:val="0C566C6B"/>
    <w:rsid w:val="0F3B6DD5"/>
    <w:rsid w:val="141E4C6A"/>
    <w:rsid w:val="188332BD"/>
    <w:rsid w:val="198571B8"/>
    <w:rsid w:val="1B8F505E"/>
    <w:rsid w:val="1BC22815"/>
    <w:rsid w:val="1CF66BA9"/>
    <w:rsid w:val="1EAC30B7"/>
    <w:rsid w:val="222814F0"/>
    <w:rsid w:val="26A84CF6"/>
    <w:rsid w:val="2B2D7DB1"/>
    <w:rsid w:val="2D991C43"/>
    <w:rsid w:val="2E620961"/>
    <w:rsid w:val="2FAD2812"/>
    <w:rsid w:val="31631EDA"/>
    <w:rsid w:val="334F1997"/>
    <w:rsid w:val="354A4237"/>
    <w:rsid w:val="35B46448"/>
    <w:rsid w:val="36EB4BCB"/>
    <w:rsid w:val="3E8269F6"/>
    <w:rsid w:val="3FA71F58"/>
    <w:rsid w:val="3FD9193C"/>
    <w:rsid w:val="401D18D6"/>
    <w:rsid w:val="419358B0"/>
    <w:rsid w:val="43754445"/>
    <w:rsid w:val="4890389D"/>
    <w:rsid w:val="4BBD13E4"/>
    <w:rsid w:val="4CDD57EF"/>
    <w:rsid w:val="51144D4B"/>
    <w:rsid w:val="56157BD7"/>
    <w:rsid w:val="568B31C1"/>
    <w:rsid w:val="57214AF9"/>
    <w:rsid w:val="57E41523"/>
    <w:rsid w:val="58294AD9"/>
    <w:rsid w:val="5D4144ED"/>
    <w:rsid w:val="5F843828"/>
    <w:rsid w:val="64C73B6E"/>
    <w:rsid w:val="658C266F"/>
    <w:rsid w:val="6902127B"/>
    <w:rsid w:val="6C3E3882"/>
    <w:rsid w:val="6DD078DB"/>
    <w:rsid w:val="6F630B99"/>
    <w:rsid w:val="76B657C2"/>
    <w:rsid w:val="79D94CBA"/>
    <w:rsid w:val="7FE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p15"/>
    <w:basedOn w:val="1"/>
    <w:qFormat/>
    <w:uiPriority w:val="0"/>
    <w:pPr>
      <w:widowControl/>
    </w:pPr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2020-03-26T00:58:00Z</dcterms:created>
  <dc:creator>yuan</dc:creator>
  <cp:lastModifiedBy>yuan</cp:lastModifiedBy>
  <cp:lastPrinted>2020-04-10T02:59:00Z</cp:lastPrinted>
  <dcterms:modified xsi:type="dcterms:W3CDTF">2020-04-16T02:29:50Z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