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jc w:val="both"/>
        <w:rPr>
          <w:rFonts w:hint="eastAsia" w:ascii="黑体" w:hAnsi="黑体" w:eastAsia="黑体" w:cs="黑体"/>
          <w:b w:val="0"/>
          <w:bCs w:val="0"/>
          <w:sz w:val="30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2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平顶山市重点企业节能减排竞赛活动参赛企业名额分配表</w:t>
      </w:r>
    </w:p>
    <w:bookmarkEnd w:id="0"/>
    <w:tbl>
      <w:tblPr>
        <w:tblStyle w:val="3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spacing w:line="420" w:lineRule="exact"/>
              <w:ind w:right="-90" w:rightChars="-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单位（县、市、区）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spacing w:line="420" w:lineRule="exact"/>
              <w:ind w:right="-90" w:rightChars="-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分配额数（家）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汝州市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舞钢市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鲁山县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宝丰县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叶县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郏县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新华区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卫东区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湛河区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石龙区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城乡一体化示范区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高新区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平煤神马集团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舞钢公司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平高集团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姚电公司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平东热电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江河公司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舞阳铁矿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供电公司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热力集团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鲁阳发电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工交工会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财贸工会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文教卫工会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轻纺工会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2020-06-28T03:01:02Z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