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鹰城</w:t>
      </w:r>
      <w:r>
        <w:rPr>
          <w:rFonts w:hint="eastAsia" w:ascii="方正小标宋简体" w:hAnsi="黑体" w:eastAsia="方正小标宋简体"/>
          <w:sz w:val="44"/>
          <w:szCs w:val="44"/>
        </w:rPr>
        <w:t>大工匠推荐人选基本情况及主要业绩量化表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460" w:lineRule="exact"/>
        <w:jc w:val="left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所在单位工会意见：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</w:t>
      </w:r>
      <w:r>
        <w:rPr>
          <w:rFonts w:hint="eastAsia" w:ascii="楷体" w:hAnsi="楷体" w:eastAsia="楷体"/>
          <w:sz w:val="28"/>
          <w:szCs w:val="28"/>
        </w:rPr>
        <w:t>所在单位财务部门意见：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25"/>
        <w:gridCol w:w="570"/>
        <w:gridCol w:w="4106"/>
        <w:gridCol w:w="567"/>
        <w:gridCol w:w="737"/>
        <w:gridCol w:w="737"/>
        <w:gridCol w:w="737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单 位 职 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工龄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现岗位工龄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人次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带徒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人数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获国家专  利（项）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应用于生  产（项）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创 造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效 益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(万元)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技术创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新成果</w:t>
            </w:r>
          </w:p>
          <w:p>
            <w:pPr>
              <w:ind w:firstLine="120" w:firstLineChars="5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(项)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应用于生  产（项）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造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益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注：本表技术创新成果包括获得的国家专利。</w:t>
      </w:r>
    </w:p>
    <w:p>
      <w:pPr>
        <w:spacing w:line="4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jc w:val="left"/>
      </w:pPr>
    </w:p>
    <w:sectPr>
      <w:footerReference r:id="rId3" w:type="default"/>
      <w:pgSz w:w="16838" w:h="11906" w:orient="landscape"/>
      <w:pgMar w:top="2154" w:right="1531" w:bottom="1814" w:left="1531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25084"/>
    <w:rsid w:val="0A76105F"/>
    <w:rsid w:val="16125084"/>
    <w:rsid w:val="1F143B15"/>
    <w:rsid w:val="43DB1E3A"/>
    <w:rsid w:val="461A5F5D"/>
    <w:rsid w:val="67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2020-08-24T02:47:00Z</dcterms:created>
  <dc:creator>ZRY</dc:creator>
  <cp:lastModifiedBy>ZRY</cp:lastModifiedBy>
  <cp:lastPrinted>2020-08-24T09:30:00Z</cp:lastPrinted>
  <dcterms:modified xsi:type="dcterms:W3CDTF">2020-09-01T07:45:42Z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