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sz w:val="32"/>
          <w:szCs w:val="32"/>
          <w:u w:val="none" w:color="auto"/>
          <w:lang w:val="en-US"/>
        </w:rPr>
      </w:pPr>
      <w:r>
        <w:rPr>
          <w:rFonts w:hint="default" w:ascii="Times New Roman" w:hAnsi="Times New Roman" w:eastAsia="黑体" w:cs="Times New Roman"/>
          <w:color w:val="000000"/>
          <w:kern w:val="0"/>
          <w:sz w:val="32"/>
          <w:szCs w:val="32"/>
          <w:u w:val="none" w:color="auto"/>
          <w:lang w:val="en-US" w:eastAsia="zh-CN" w:bidi="ar"/>
        </w:rPr>
        <w:t>附件1</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kern w:val="0"/>
          <w:sz w:val="32"/>
          <w:szCs w:val="32"/>
          <w:u w:val="none" w:color="auto"/>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bCs/>
          <w:sz w:val="44"/>
          <w:szCs w:val="44"/>
          <w:u w:val="none" w:color="auto"/>
        </w:rPr>
      </w:pPr>
      <w:r>
        <w:rPr>
          <w:rFonts w:hint="default" w:ascii="Times New Roman" w:hAnsi="Times New Roman" w:eastAsia="方正小标宋简体" w:cs="Times New Roman"/>
          <w:b/>
          <w:bCs/>
          <w:color w:val="000000"/>
          <w:kern w:val="0"/>
          <w:sz w:val="44"/>
          <w:szCs w:val="44"/>
          <w:u w:val="none" w:color="auto"/>
          <w:lang w:val="en-US" w:eastAsia="zh-CN" w:bidi="ar"/>
        </w:rPr>
        <w:t>困难职工家庭认定标准</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kern w:val="0"/>
          <w:sz w:val="32"/>
          <w:szCs w:val="32"/>
          <w:u w:val="none" w:color="auto"/>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u w:val="none" w:color="auto"/>
        </w:rPr>
      </w:pPr>
      <w:r>
        <w:rPr>
          <w:rFonts w:hint="default" w:ascii="Times New Roman" w:hAnsi="Times New Roman" w:eastAsia="黑体" w:cs="Times New Roman"/>
          <w:color w:val="000000"/>
          <w:kern w:val="0"/>
          <w:sz w:val="32"/>
          <w:szCs w:val="32"/>
          <w:u w:val="none" w:color="auto"/>
          <w:lang w:val="en-US" w:eastAsia="zh-CN" w:bidi="ar"/>
        </w:rPr>
        <w:t xml:space="preserve">一、困难职工家庭困难类别 </w:t>
      </w: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rPr>
      </w:pPr>
      <w:r>
        <w:rPr>
          <w:rFonts w:hint="default" w:ascii="Times New Roman" w:hAnsi="Times New Roman" w:eastAsia="仿宋_GB2312" w:cs="Times New Roman"/>
          <w:color w:val="000000"/>
          <w:kern w:val="0"/>
          <w:sz w:val="32"/>
          <w:szCs w:val="32"/>
          <w:u w:val="none" w:color="auto"/>
          <w:lang w:val="en-US" w:eastAsia="zh-CN" w:bidi="ar"/>
        </w:rPr>
        <w:t xml:space="preserve">1. 深度困难职工，具体是指家庭收入扣减刚性支出必要费用后，家庭人均纯收入低于当地最低生活保障标准的职工家庭。包括：（1）已纳入最低生活保障，但还存在患病、子女上学、伤残等其他刚性支出的困难职工家庭。（2）企业关停并转过程中下岗失业、停发或减发工资，造成家庭收入扣减因病、因残、因子女上学等家庭刚性支出和必要就业成本后，低于当地最低生活保障标准的职工家庭。（3）本人或家庭成员因患重特大疾病、伤残等因素，导致家庭收入扣减重特大疾病支出和长期照料费用后，低于当地最低生活保障标准的职工家庭。 </w:t>
      </w: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rPr>
      </w:pPr>
      <w:r>
        <w:rPr>
          <w:rFonts w:hint="default" w:ascii="Times New Roman" w:hAnsi="Times New Roman" w:eastAsia="仿宋_GB2312" w:cs="Times New Roman"/>
          <w:color w:val="000000"/>
          <w:kern w:val="0"/>
          <w:sz w:val="32"/>
          <w:szCs w:val="32"/>
          <w:u w:val="none" w:color="auto"/>
          <w:lang w:val="en-US" w:eastAsia="zh-CN" w:bidi="ar"/>
        </w:rPr>
        <w:t>2. 相对困难职工，具体是指家庭收入扣减因病、因残、因子女上学等家庭刚性支出和必要就业成本后，家庭人均纯收入低于当地最低生活保障</w:t>
      </w:r>
      <w:r>
        <w:rPr>
          <w:rFonts w:hint="eastAsia" w:eastAsia="仿宋_GB2312" w:cs="Times New Roman"/>
          <w:color w:val="000000"/>
          <w:kern w:val="0"/>
          <w:sz w:val="32"/>
          <w:szCs w:val="32"/>
          <w:u w:val="none" w:color="auto"/>
          <w:lang w:val="en-US" w:eastAsia="zh-CN" w:bidi="ar"/>
        </w:rPr>
        <w:t>标准2倍</w:t>
      </w:r>
      <w:r>
        <w:rPr>
          <w:rFonts w:hint="default" w:ascii="Times New Roman" w:hAnsi="Times New Roman" w:eastAsia="仿宋_GB2312" w:cs="Times New Roman"/>
          <w:color w:val="000000"/>
          <w:kern w:val="0"/>
          <w:sz w:val="32"/>
          <w:szCs w:val="32"/>
          <w:u w:val="none" w:color="auto"/>
          <w:lang w:val="en-US" w:eastAsia="zh-CN" w:bidi="ar"/>
        </w:rPr>
        <w:t xml:space="preserve">以内的职工家庭。 </w:t>
      </w: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rPr>
      </w:pPr>
      <w:r>
        <w:rPr>
          <w:rFonts w:hint="default" w:ascii="Times New Roman" w:hAnsi="Times New Roman" w:eastAsia="仿宋_GB2312" w:cs="Times New Roman"/>
          <w:color w:val="000000"/>
          <w:kern w:val="0"/>
          <w:sz w:val="32"/>
          <w:szCs w:val="32"/>
          <w:u w:val="none" w:color="auto"/>
          <w:lang w:val="en-US" w:eastAsia="zh-CN" w:bidi="ar"/>
        </w:rPr>
        <w:t xml:space="preserve">3. 意外致困职工，具体是指职工本人或家庭成员因突发事件、意外伤害、患重大疾病 （重大疾病病种参照中国保险行业协会制定的 《重大疾病保险的疾病定义使用规范》和当地政府公布的重大疾病、地方罕见病病种目录），在获得各类赔偿补偿、保险支付、社会救助和社会帮扶后，生活仍暂时有困难的意外致困职工。包括：（1）自然灾害、重大安全事故、重大疫情、社会安全等重大事件中负伤致残、染病或牺牲的职工家庭；（2）家庭成员突发重大疾病等原因产生数额过大的救治费用，导致基本生活暂时出现严重困难的职工家庭；（3）因发生自然灾害或重大安全事故、交通事故造成重大人身伤害或住宅、家庭生活必需用品损毁严重，导致基本生活暂无着落或暂时出现严重困难的职工家庭。 </w:t>
      </w: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rPr>
      </w:pPr>
      <w:r>
        <w:rPr>
          <w:rFonts w:hint="default" w:ascii="Times New Roman" w:hAnsi="Times New Roman" w:eastAsia="仿宋_GB2312" w:cs="Times New Roman"/>
          <w:color w:val="000000"/>
          <w:kern w:val="0"/>
          <w:sz w:val="32"/>
          <w:szCs w:val="32"/>
          <w:u w:val="none" w:color="auto"/>
          <w:lang w:val="en-US" w:eastAsia="zh-CN" w:bidi="ar"/>
        </w:rPr>
        <w:t xml:space="preserve">4. 对长期居住在城市、本人加入工会组织、生活遇到特殊困难的农民工帮扶应符合1至3规定条件且有一年以上事实劳动关系。 </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Times New Roman" w:hAnsi="Times New Roman" w:eastAsia="黑体"/>
          <w:b/>
          <w:sz w:val="32"/>
          <w:szCs w:val="32"/>
        </w:rPr>
      </w:pPr>
      <w:r>
        <w:rPr>
          <w:rFonts w:hint="default" w:ascii="Times New Roman" w:hAnsi="Times New Roman" w:eastAsia="仿宋_GB2312" w:cs="Times New Roman"/>
          <w:color w:val="000000"/>
          <w:kern w:val="0"/>
          <w:sz w:val="32"/>
          <w:szCs w:val="32"/>
          <w:u w:val="none" w:color="auto"/>
          <w:lang w:val="en-US" w:eastAsia="zh-CN" w:bidi="ar"/>
        </w:rPr>
        <w:t xml:space="preserve">5. </w:t>
      </w:r>
      <w:r>
        <w:rPr>
          <w:rFonts w:ascii="Times New Roman" w:hAnsi="Times New Roman" w:eastAsia="仿宋_GB2312"/>
          <w:sz w:val="32"/>
          <w:szCs w:val="32"/>
        </w:rPr>
        <w:t>已实行社会化管理的退休人员，原则上不再纳入建档范围。</w:t>
      </w: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u w:val="none" w:color="auto"/>
        </w:rPr>
      </w:pPr>
      <w:r>
        <w:rPr>
          <w:rFonts w:hint="default" w:ascii="Times New Roman" w:hAnsi="Times New Roman" w:eastAsia="黑体" w:cs="Times New Roman"/>
          <w:color w:val="000000"/>
          <w:kern w:val="0"/>
          <w:sz w:val="32"/>
          <w:szCs w:val="32"/>
          <w:u w:val="none" w:color="auto"/>
          <w:lang w:val="en-US" w:eastAsia="zh-CN" w:bidi="ar"/>
        </w:rPr>
        <w:t xml:space="preserve">二、困难职工解困脱困和梯度帮扶 </w:t>
      </w: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rPr>
      </w:pPr>
      <w:r>
        <w:rPr>
          <w:rFonts w:hint="default" w:ascii="Times New Roman" w:hAnsi="Times New Roman" w:eastAsia="仿宋_GB2312" w:cs="Times New Roman"/>
          <w:color w:val="000000"/>
          <w:kern w:val="0"/>
          <w:sz w:val="32"/>
          <w:szCs w:val="32"/>
          <w:u w:val="none" w:color="auto"/>
          <w:lang w:val="en-US" w:eastAsia="zh-CN" w:bidi="ar"/>
        </w:rPr>
        <w:t>1. 困难职工解困脱困标准。家庭人均纯收入低于最低生活保障标准的深度困难职工为解困脱困对象。其中脱困是指深度困难职工经精准帮扶后，致困因素消除，家庭人均收入连续6个月超过当地最低生活保障标准，家庭生活状况脱离困境；脱困后，各级工会可视其家庭情况给予1-6个月的渐退期，渐退期内可按照不高于脱困前60%的标准进行救助，符合相对困难职工或意外致困职工建档标准的纳入相应困难类型档案继续帮扶，防止返困。解困是指深度困难职工致困因素难以消除，通过政府救助和工会常态化帮扶，家庭生活水平达到当地最低生活保障标准；对其应继续保留在深度困难职工档案中实施常态化帮扶。</w:t>
      </w: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rPr>
      </w:pPr>
      <w:r>
        <w:rPr>
          <w:rFonts w:hint="default" w:ascii="Times New Roman" w:hAnsi="Times New Roman" w:eastAsia="仿宋_GB2312" w:cs="Times New Roman"/>
          <w:color w:val="000000"/>
          <w:kern w:val="0"/>
          <w:sz w:val="32"/>
          <w:szCs w:val="32"/>
          <w:u w:val="none" w:color="auto"/>
          <w:lang w:val="en-US" w:eastAsia="zh-CN" w:bidi="ar"/>
        </w:rPr>
        <w:t xml:space="preserve">2. 困难职工梯度帮扶。（1）加大城市困难职工解困脱困帮扶和保障力度，职工发生困难时，逐人逐户分析致困原因，全面掌握帮扶需求，持续采取 “四个一批”措施开展分类帮扶，户策对接，精准施策，帮助困难职工走出困境；（2）加强困难职工帮扶与政府救助制度衔接，推动符合条件的困难职工纳入政府救助覆盖范围，应纳尽纳。（3）政府救助制度未覆盖或覆盖后仍有困难的职工，应建立困难职工档案及时帮扶，其中，对暂时无法脱困的深度困难职工实施常态化帮扶，帮助缓解困难；对相对困难职工和意外致困职工，为其建立档案帮扶解决暂时困难，防止陷入深度困难。 </w:t>
      </w: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u w:val="none" w:color="auto"/>
        </w:rPr>
      </w:pPr>
      <w:r>
        <w:rPr>
          <w:rFonts w:hint="default" w:ascii="Times New Roman" w:hAnsi="Times New Roman" w:eastAsia="黑体" w:cs="Times New Roman"/>
          <w:color w:val="000000"/>
          <w:kern w:val="0"/>
          <w:sz w:val="32"/>
          <w:szCs w:val="32"/>
          <w:u w:val="none" w:color="auto"/>
          <w:lang w:val="en-US" w:eastAsia="zh-CN" w:bidi="ar"/>
        </w:rPr>
        <w:t xml:space="preserve">三、职工家庭收入和刚性支出核算指标 </w:t>
      </w: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rPr>
      </w:pPr>
      <w:r>
        <w:rPr>
          <w:rFonts w:hint="default" w:ascii="Times New Roman" w:hAnsi="Times New Roman" w:eastAsia="仿宋_GB2312" w:cs="Times New Roman"/>
          <w:color w:val="000000"/>
          <w:kern w:val="0"/>
          <w:sz w:val="32"/>
          <w:szCs w:val="32"/>
          <w:u w:val="none" w:color="auto"/>
          <w:lang w:val="en-US" w:eastAsia="zh-CN" w:bidi="ar"/>
        </w:rPr>
        <w:t xml:space="preserve">1. 职工家庭收入核算指标。 </w:t>
      </w: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rPr>
      </w:pPr>
      <w:r>
        <w:rPr>
          <w:rFonts w:hint="default" w:ascii="Times New Roman" w:hAnsi="Times New Roman" w:eastAsia="仿宋_GB2312" w:cs="Times New Roman"/>
          <w:color w:val="000000"/>
          <w:kern w:val="0"/>
          <w:sz w:val="32"/>
          <w:szCs w:val="32"/>
          <w:u w:val="none" w:color="auto"/>
          <w:lang w:val="en-US" w:eastAsia="zh-CN" w:bidi="ar"/>
        </w:rPr>
        <w:t xml:space="preserve">职工家庭收入是指家庭在规定期限内获得的全部现金及实物收入，包括工资性收入、经营净收入、财产净收入、转移净收入以及其他应当计入家庭收入的项目。国家规定的优待抚恤金、计划生育奖励与扶助金、奖学金、见义勇为等奖励性补助，各类社会救助款物以及县级以上政府规定的不计入家庭收入项目等不计入家庭收入。中央确定的城乡居民基本养老保险基础养老金，暂不计入家庭收入。 </w:t>
      </w: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rPr>
      </w:pPr>
      <w:r>
        <w:rPr>
          <w:rFonts w:hint="default" w:ascii="Times New Roman" w:hAnsi="Times New Roman" w:eastAsia="仿宋_GB2312" w:cs="Times New Roman"/>
          <w:color w:val="000000"/>
          <w:kern w:val="0"/>
          <w:sz w:val="32"/>
          <w:szCs w:val="32"/>
          <w:u w:val="none" w:color="auto"/>
          <w:lang w:val="en-US" w:eastAsia="zh-CN" w:bidi="ar"/>
        </w:rPr>
        <w:t xml:space="preserve">（1）工资性收入。工资性收入指就业人员通过各种途径得到的全部劳动报酬和各种福利，包括因任职或者受雇而取得的工资、薪金、奖金、劳动分红、津贴、补贴以及与任职或者受雇有关的其他所得等。工资性收入参照劳动合同认定；没有劳动合同的，通过调查就业和劳动报酬、各种福利收入认定，或根据社会保险、个人所得税、住房公积金的缴纳情况推算；对于无法推算实际工资收入的灵活就业人员，原则上按务工地最低工资标准计算其工资收入，申请人申报收入高于务工地最低工资标准的，以申报收入为准。 </w:t>
      </w: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rPr>
      </w:pPr>
      <w:r>
        <w:rPr>
          <w:rFonts w:hint="default" w:ascii="Times New Roman" w:hAnsi="Times New Roman" w:eastAsia="仿宋_GB2312" w:cs="Times New Roman"/>
          <w:color w:val="000000"/>
          <w:kern w:val="0"/>
          <w:sz w:val="32"/>
          <w:szCs w:val="32"/>
          <w:u w:val="none" w:color="auto"/>
          <w:lang w:val="en-US" w:eastAsia="zh-CN" w:bidi="ar"/>
        </w:rPr>
        <w:t xml:space="preserve">（2）经营净收入。经营净收入指从事生产经营及有偿服务活动所获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经营企业的，按照企业实际纯收入或实际缴纳税收基数综合认定；无法认定实际收入的，参考当地同行业、同规模企业平均收入和企业实际缴纳税收情况综合认定。其他情形按当地评估标准和方法推算。 </w:t>
      </w: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rPr>
      </w:pPr>
      <w:r>
        <w:rPr>
          <w:rFonts w:hint="default" w:ascii="Times New Roman" w:hAnsi="Times New Roman" w:eastAsia="仿宋_GB2312" w:cs="Times New Roman"/>
          <w:color w:val="000000"/>
          <w:kern w:val="0"/>
          <w:sz w:val="32"/>
          <w:szCs w:val="32"/>
          <w:u w:val="none" w:color="auto"/>
          <w:lang w:val="en-US" w:eastAsia="zh-CN" w:bidi="ar"/>
        </w:rPr>
        <w:t>（3）财产净收入。财产净收入指出让动产和不动产，或将动产和不动产交由其他机构、单位或个人使用并扣除相关费用之后得到的收入，包括储蓄存款利息、有价证券红利、储蓄性保险投资以及其他股息和红利等收入，集体财产收入分红和其他动产收入，以及转租承包土地经营权、出租或者出让房产以及其他不动产收入等。出让、租赁等收入，参照双方签订的相关合法有效合同计算；个人不能提供相关合同或合同确定的收益明显低于市场平均收益的，参照当地同类资产出让、租赁的平均价格推算。储蓄存款利息、有价证券红利、储蓄性保险投资以及其他股息和红利等按照金融机构提供的信息计算，集体财产收入分红按集体出具的分配记录计算。</w:t>
      </w: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rPr>
      </w:pPr>
      <w:r>
        <w:rPr>
          <w:rFonts w:hint="default" w:ascii="Times New Roman" w:hAnsi="Times New Roman" w:eastAsia="仿宋_GB2312" w:cs="Times New Roman"/>
          <w:color w:val="000000"/>
          <w:kern w:val="0"/>
          <w:sz w:val="32"/>
          <w:szCs w:val="32"/>
          <w:u w:val="none" w:color="auto"/>
          <w:lang w:val="en-US" w:eastAsia="zh-CN" w:bidi="ar"/>
        </w:rPr>
        <w:t xml:space="preserve">（4）转移净收入。转移净收入指转移性收入扣减转移性支出之后的收入。其中，转移性收入指国家、机关企事业单位、社会组织对居民的各种经常性转移支付和居民之间的经常性收入转移，包括赡养 （抚养、扶养）费、离退休金、失业保险金、遗属补助金、赔偿收入、接受捐赠 （赠送）收入等；转移性支出指居民对国家、企事业单位、社会组织、居民的经常性转移支出，包括缴纳的税款、各项社会保障支出、赡养支出以及其他经常转移支出等。转移性收入和转移性支出有实际发生数额凭证的，以凭证数额计算；有协议、裁判文书的，按照法律文书所规定的数额计算。赡养 （抚养、扶养）费收入原则上按赡养 （抚养、扶养）法律文书所规定的数额计算；无法律文书规定的，按赡养 （抚养、扶养）义务人收入扣除户籍地最低生活保障标准之后的一定比例推算；赡养 （抚养、扶养）义务人属于特困人员、最低生活保障对象、未脱贫建档立卡贫困人口、低收入家庭成员的，在计算转移净收入时不计入该赡养 （抚养、扶养）义务人的赡养（抚养、扶养）费。 </w:t>
      </w: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rPr>
      </w:pPr>
      <w:r>
        <w:rPr>
          <w:rFonts w:hint="default" w:ascii="Times New Roman" w:hAnsi="Times New Roman" w:eastAsia="仿宋_GB2312" w:cs="Times New Roman"/>
          <w:color w:val="000000"/>
          <w:kern w:val="0"/>
          <w:sz w:val="32"/>
          <w:szCs w:val="32"/>
          <w:u w:val="none" w:color="auto"/>
          <w:lang w:val="en-US" w:eastAsia="zh-CN" w:bidi="ar"/>
        </w:rPr>
        <w:t xml:space="preserve">（5）其他应当计入家庭收入的项目。 </w:t>
      </w: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rPr>
      </w:pPr>
      <w:r>
        <w:rPr>
          <w:rFonts w:hint="default" w:ascii="Times New Roman" w:hAnsi="Times New Roman" w:eastAsia="仿宋_GB2312" w:cs="Times New Roman"/>
          <w:color w:val="000000"/>
          <w:kern w:val="0"/>
          <w:sz w:val="32"/>
          <w:szCs w:val="32"/>
          <w:u w:val="none" w:color="auto"/>
          <w:lang w:val="en-US" w:eastAsia="zh-CN" w:bidi="ar"/>
        </w:rPr>
        <w:t xml:space="preserve">2. 职工家庭刚性支出核算指标。 </w:t>
      </w: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u w:val="none" w:color="auto"/>
          <w:lang w:val="en-US" w:eastAsia="zh-CN" w:bidi="ar"/>
        </w:rPr>
      </w:pPr>
      <w:r>
        <w:rPr>
          <w:rFonts w:hint="default" w:ascii="Times New Roman" w:hAnsi="Times New Roman" w:eastAsia="仿宋_GB2312" w:cs="Times New Roman"/>
          <w:color w:val="000000"/>
          <w:kern w:val="0"/>
          <w:sz w:val="32"/>
          <w:szCs w:val="32"/>
          <w:u w:val="none" w:color="auto"/>
          <w:lang w:val="en-US" w:eastAsia="zh-CN" w:bidi="ar"/>
        </w:rPr>
        <w:t>（1）因病费用。指家庭成员因病住院 （含门诊慢性病）产生的医疗费用，按照基本医疗保险、大病保险、商业保险报销、互助保障和其他部门救助后的个人承担部分计算。</w:t>
      </w: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rPr>
      </w:pPr>
      <w:r>
        <w:rPr>
          <w:rFonts w:hint="default" w:ascii="Times New Roman" w:hAnsi="Times New Roman" w:eastAsia="仿宋_GB2312" w:cs="Times New Roman"/>
          <w:color w:val="000000"/>
          <w:kern w:val="0"/>
          <w:sz w:val="32"/>
          <w:szCs w:val="32"/>
          <w:u w:val="none" w:color="auto"/>
          <w:lang w:val="en-US" w:eastAsia="zh-CN" w:bidi="ar"/>
        </w:rPr>
        <w:t xml:space="preserve">（2）因残费用。指因残、因病用于康复治疗以及长期照料的费用。 </w:t>
      </w: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rPr>
      </w:pPr>
      <w:r>
        <w:rPr>
          <w:rFonts w:hint="default" w:ascii="Times New Roman" w:hAnsi="Times New Roman" w:eastAsia="仿宋_GB2312" w:cs="Times New Roman"/>
          <w:color w:val="000000"/>
          <w:kern w:val="0"/>
          <w:sz w:val="32"/>
          <w:szCs w:val="32"/>
          <w:u w:val="none" w:color="auto"/>
          <w:lang w:val="en-US" w:eastAsia="zh-CN" w:bidi="ar"/>
        </w:rPr>
        <w:t>（3）因学费用，指子女上学产生的费用。按照个人承担的学费、住宿费、必要长途路费扣除政府或社会资助后的实际支出。</w:t>
      </w: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rPr>
      </w:pPr>
      <w:r>
        <w:rPr>
          <w:rFonts w:hint="default" w:ascii="Times New Roman" w:hAnsi="Times New Roman" w:eastAsia="仿宋_GB2312" w:cs="Times New Roman"/>
          <w:color w:val="000000"/>
          <w:kern w:val="0"/>
          <w:sz w:val="32"/>
          <w:szCs w:val="32"/>
          <w:u w:val="none" w:color="auto"/>
          <w:lang w:val="en-US" w:eastAsia="zh-CN" w:bidi="ar"/>
        </w:rPr>
        <w:t xml:space="preserve">（4）住房费用，指困难职工租住当地人均住房面积以内房屋的费用。 </w:t>
      </w: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rPr>
      </w:pPr>
      <w:r>
        <w:rPr>
          <w:rFonts w:hint="default" w:ascii="Times New Roman" w:hAnsi="Times New Roman" w:eastAsia="仿宋_GB2312" w:cs="Times New Roman"/>
          <w:color w:val="000000"/>
          <w:kern w:val="0"/>
          <w:sz w:val="32"/>
          <w:szCs w:val="32"/>
          <w:u w:val="none" w:color="auto"/>
          <w:lang w:val="en-US" w:eastAsia="zh-CN" w:bidi="ar"/>
        </w:rPr>
        <w:t xml:space="preserve">（5）多重支出费用，存在多重刚性支出的家庭，符合上述情况，可以累积计算。 </w:t>
      </w: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rPr>
      </w:pPr>
      <w:r>
        <w:rPr>
          <w:rFonts w:hint="default" w:ascii="Times New Roman" w:hAnsi="Times New Roman" w:eastAsia="仿宋_GB2312" w:cs="Times New Roman"/>
          <w:color w:val="000000"/>
          <w:kern w:val="0"/>
          <w:sz w:val="32"/>
          <w:szCs w:val="32"/>
          <w:u w:val="none" w:color="auto"/>
          <w:lang w:val="en-US" w:eastAsia="zh-CN" w:bidi="ar"/>
        </w:rPr>
        <w:t xml:space="preserve">（6）县级以上人民政府规定的可以纳入家庭刚性支出的其他情形。 </w:t>
      </w:r>
    </w:p>
    <w:p>
      <w:pPr>
        <w:keepNext w:val="0"/>
        <w:keepLines w:val="0"/>
        <w:pageBreakBefore w:val="0"/>
        <w:widowControl w:val="0"/>
        <w:suppressLineNumbers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u w:val="none" w:color="auto"/>
          <w:lang w:val="en-US" w:eastAsia="zh-CN" w:bidi="ar"/>
        </w:rPr>
      </w:pPr>
      <w:r>
        <w:rPr>
          <w:rFonts w:hint="default" w:ascii="Times New Roman" w:hAnsi="Times New Roman" w:eastAsia="仿宋_GB2312" w:cs="Times New Roman"/>
          <w:color w:val="000000"/>
          <w:kern w:val="0"/>
          <w:sz w:val="32"/>
          <w:szCs w:val="32"/>
          <w:u w:val="none" w:color="auto"/>
          <w:lang w:val="en-US" w:eastAsia="zh-CN" w:bidi="ar"/>
        </w:rPr>
        <w:t xml:space="preserve">3. 家庭总人口原则上以户籍为单位且常年共同生活的人口计算，或以虽不在同一户籍但具有赡养、扶养、抚养或收养关系且共同生活的人口计算。不计入家庭人口情形以县级以上人民政府规定为准。 </w:t>
      </w:r>
    </w:p>
    <w:p>
      <w:pPr>
        <w:keepNext w:val="0"/>
        <w:keepLines w:val="0"/>
        <w:pageBreakBefore w:val="0"/>
        <w:widowControl w:val="0"/>
        <w:suppressLineNumbers w:val="0"/>
        <w:kinsoku/>
        <w:wordWrap/>
        <w:overflowPunct/>
        <w:topLinePunct w:val="0"/>
        <w:autoSpaceDE/>
        <w:autoSpaceDN/>
        <w:bidi w:val="0"/>
        <w:adjustRightInd/>
        <w:snapToGrid/>
        <w:spacing w:line="580" w:lineRule="exact"/>
        <w:jc w:val="both"/>
        <w:textAlignment w:val="auto"/>
        <w:rPr>
          <w:rFonts w:hint="default" w:ascii="Times New Roman" w:hAnsi="Times New Roman" w:eastAsia="黑体" w:cs="Times New Roman"/>
          <w:color w:val="000000"/>
          <w:kern w:val="0"/>
          <w:sz w:val="32"/>
          <w:szCs w:val="32"/>
          <w:u w:val="none" w:color="auto"/>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000000"/>
          <w:kern w:val="0"/>
          <w:sz w:val="32"/>
          <w:szCs w:val="32"/>
          <w:u w:val="none" w:color="auto"/>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000000"/>
          <w:kern w:val="0"/>
          <w:sz w:val="32"/>
          <w:szCs w:val="32"/>
          <w:u w:val="none" w:color="auto"/>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000000"/>
          <w:kern w:val="0"/>
          <w:sz w:val="32"/>
          <w:szCs w:val="32"/>
          <w:u w:val="none" w:color="auto"/>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000000"/>
          <w:kern w:val="0"/>
          <w:sz w:val="32"/>
          <w:szCs w:val="32"/>
          <w:u w:val="none" w:color="auto"/>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000000"/>
          <w:kern w:val="0"/>
          <w:sz w:val="32"/>
          <w:szCs w:val="32"/>
          <w:u w:val="none" w:color="auto"/>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000000"/>
          <w:kern w:val="0"/>
          <w:sz w:val="32"/>
          <w:szCs w:val="32"/>
          <w:u w:val="none" w:color="auto"/>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000000"/>
          <w:kern w:val="0"/>
          <w:sz w:val="32"/>
          <w:szCs w:val="32"/>
          <w:u w:val="none" w:color="auto"/>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000000"/>
          <w:kern w:val="0"/>
          <w:sz w:val="32"/>
          <w:szCs w:val="32"/>
          <w:u w:val="none" w:color="auto"/>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000000"/>
          <w:kern w:val="0"/>
          <w:sz w:val="32"/>
          <w:szCs w:val="32"/>
          <w:u w:val="none" w:color="auto"/>
          <w:lang w:val="en-US" w:eastAsia="zh-CN" w:bidi="ar"/>
        </w:rPr>
      </w:pPr>
    </w:p>
    <w:p>
      <w:pPr>
        <w:rPr>
          <w:rFonts w:hint="eastAsia" w:ascii="仿宋_GB2312" w:hAnsi="仿宋" w:eastAsia="仿宋_GB2312"/>
          <w:szCs w:val="30"/>
        </w:rPr>
      </w:pPr>
      <w:bookmarkStart w:id="0" w:name="_GoBack"/>
      <w:bookmarkEnd w:id="0"/>
    </w:p>
    <w:sectPr>
      <w:footerReference r:id="rId3" w:type="default"/>
      <w:pgSz w:w="11907" w:h="16840"/>
      <w:pgMar w:top="1814" w:right="1531" w:bottom="1587" w:left="1531" w:header="567"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p>
    <w:pPr>
      <w:pStyle w:val="5"/>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0"/>
  <w:drawingGridVerticalSpacing w:val="204"/>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DD5"/>
    <w:rsid w:val="00025DC1"/>
    <w:rsid w:val="00037C3E"/>
    <w:rsid w:val="00081C20"/>
    <w:rsid w:val="00083AE3"/>
    <w:rsid w:val="000E6D2F"/>
    <w:rsid w:val="0010671C"/>
    <w:rsid w:val="00162969"/>
    <w:rsid w:val="001630B9"/>
    <w:rsid w:val="0016707D"/>
    <w:rsid w:val="00172A27"/>
    <w:rsid w:val="0017603E"/>
    <w:rsid w:val="001E7CF7"/>
    <w:rsid w:val="001F246E"/>
    <w:rsid w:val="00200736"/>
    <w:rsid w:val="0020076A"/>
    <w:rsid w:val="00230FE0"/>
    <w:rsid w:val="00233F1B"/>
    <w:rsid w:val="002458F9"/>
    <w:rsid w:val="00283D80"/>
    <w:rsid w:val="00291681"/>
    <w:rsid w:val="002B0B84"/>
    <w:rsid w:val="002E744B"/>
    <w:rsid w:val="002E7BAF"/>
    <w:rsid w:val="00314180"/>
    <w:rsid w:val="0031475E"/>
    <w:rsid w:val="00327805"/>
    <w:rsid w:val="00344977"/>
    <w:rsid w:val="00354023"/>
    <w:rsid w:val="00386055"/>
    <w:rsid w:val="003F1BF7"/>
    <w:rsid w:val="00410799"/>
    <w:rsid w:val="00420699"/>
    <w:rsid w:val="00441B5C"/>
    <w:rsid w:val="005124D1"/>
    <w:rsid w:val="00587211"/>
    <w:rsid w:val="005A5A5B"/>
    <w:rsid w:val="005C2E07"/>
    <w:rsid w:val="005E048D"/>
    <w:rsid w:val="006161D9"/>
    <w:rsid w:val="00667779"/>
    <w:rsid w:val="00677F3A"/>
    <w:rsid w:val="006839B3"/>
    <w:rsid w:val="006B3F6B"/>
    <w:rsid w:val="006E5014"/>
    <w:rsid w:val="006F596A"/>
    <w:rsid w:val="00704712"/>
    <w:rsid w:val="00723DC6"/>
    <w:rsid w:val="0074501C"/>
    <w:rsid w:val="007D602D"/>
    <w:rsid w:val="00802A00"/>
    <w:rsid w:val="008325E9"/>
    <w:rsid w:val="00833DF4"/>
    <w:rsid w:val="00866A54"/>
    <w:rsid w:val="00883A75"/>
    <w:rsid w:val="008D1125"/>
    <w:rsid w:val="008F752E"/>
    <w:rsid w:val="0093750A"/>
    <w:rsid w:val="009427BF"/>
    <w:rsid w:val="009935B5"/>
    <w:rsid w:val="009A29A8"/>
    <w:rsid w:val="009C0A62"/>
    <w:rsid w:val="009F3D04"/>
    <w:rsid w:val="00A27AB6"/>
    <w:rsid w:val="00A56027"/>
    <w:rsid w:val="00A64EB4"/>
    <w:rsid w:val="00A71E13"/>
    <w:rsid w:val="00A734D3"/>
    <w:rsid w:val="00AB6BB2"/>
    <w:rsid w:val="00AC1B10"/>
    <w:rsid w:val="00AD13F8"/>
    <w:rsid w:val="00AE6465"/>
    <w:rsid w:val="00B06112"/>
    <w:rsid w:val="00B20281"/>
    <w:rsid w:val="00B47E0D"/>
    <w:rsid w:val="00B62A97"/>
    <w:rsid w:val="00B821B8"/>
    <w:rsid w:val="00BA5CDB"/>
    <w:rsid w:val="00BD0B37"/>
    <w:rsid w:val="00C07933"/>
    <w:rsid w:val="00C22892"/>
    <w:rsid w:val="00C33658"/>
    <w:rsid w:val="00CA5788"/>
    <w:rsid w:val="00CD2E45"/>
    <w:rsid w:val="00D01C0D"/>
    <w:rsid w:val="00D103D1"/>
    <w:rsid w:val="00D35E22"/>
    <w:rsid w:val="00D600F8"/>
    <w:rsid w:val="00D757F2"/>
    <w:rsid w:val="00D77BD3"/>
    <w:rsid w:val="00DE0A5B"/>
    <w:rsid w:val="00E03296"/>
    <w:rsid w:val="00E160EA"/>
    <w:rsid w:val="00E42369"/>
    <w:rsid w:val="00E96E45"/>
    <w:rsid w:val="00EA34A9"/>
    <w:rsid w:val="00EA6653"/>
    <w:rsid w:val="00EB1F66"/>
    <w:rsid w:val="00EE41F7"/>
    <w:rsid w:val="00F170E8"/>
    <w:rsid w:val="00F410AF"/>
    <w:rsid w:val="00F478B0"/>
    <w:rsid w:val="00F54BB7"/>
    <w:rsid w:val="00F81B7F"/>
    <w:rsid w:val="00F81C4E"/>
    <w:rsid w:val="00FB1653"/>
    <w:rsid w:val="00FB6DCF"/>
    <w:rsid w:val="00FC204E"/>
    <w:rsid w:val="00FC79C8"/>
    <w:rsid w:val="02147AC4"/>
    <w:rsid w:val="038E3DA4"/>
    <w:rsid w:val="054C4BDC"/>
    <w:rsid w:val="054C73C7"/>
    <w:rsid w:val="063940B3"/>
    <w:rsid w:val="072638F4"/>
    <w:rsid w:val="07785BB5"/>
    <w:rsid w:val="082732F3"/>
    <w:rsid w:val="08324D14"/>
    <w:rsid w:val="08551A54"/>
    <w:rsid w:val="08A03BA8"/>
    <w:rsid w:val="099A10EE"/>
    <w:rsid w:val="0AEA1327"/>
    <w:rsid w:val="0B9A273C"/>
    <w:rsid w:val="0D6C58FE"/>
    <w:rsid w:val="0DD22529"/>
    <w:rsid w:val="0E57233D"/>
    <w:rsid w:val="0EB747B9"/>
    <w:rsid w:val="0ED60737"/>
    <w:rsid w:val="0EDD52C2"/>
    <w:rsid w:val="0F5B2E7A"/>
    <w:rsid w:val="0F9B5A67"/>
    <w:rsid w:val="0FFB5502"/>
    <w:rsid w:val="0FFD5A3D"/>
    <w:rsid w:val="10062524"/>
    <w:rsid w:val="10332DAF"/>
    <w:rsid w:val="1066480D"/>
    <w:rsid w:val="11900115"/>
    <w:rsid w:val="14B108B1"/>
    <w:rsid w:val="154350F4"/>
    <w:rsid w:val="154D1108"/>
    <w:rsid w:val="15B11BD4"/>
    <w:rsid w:val="1625392D"/>
    <w:rsid w:val="165A5FDB"/>
    <w:rsid w:val="16C928E2"/>
    <w:rsid w:val="1710654C"/>
    <w:rsid w:val="18561CE9"/>
    <w:rsid w:val="193D271D"/>
    <w:rsid w:val="19513359"/>
    <w:rsid w:val="19FD21D9"/>
    <w:rsid w:val="1A676D01"/>
    <w:rsid w:val="1ADE0FA2"/>
    <w:rsid w:val="1B1010B9"/>
    <w:rsid w:val="1B430712"/>
    <w:rsid w:val="1B8475B6"/>
    <w:rsid w:val="1C6D38C6"/>
    <w:rsid w:val="1CFE6C5C"/>
    <w:rsid w:val="1D551222"/>
    <w:rsid w:val="1EA236D2"/>
    <w:rsid w:val="1EEC07D4"/>
    <w:rsid w:val="227B3DB6"/>
    <w:rsid w:val="23AD4C38"/>
    <w:rsid w:val="24D45B71"/>
    <w:rsid w:val="27B810BE"/>
    <w:rsid w:val="284967D9"/>
    <w:rsid w:val="28885739"/>
    <w:rsid w:val="2AD76799"/>
    <w:rsid w:val="2C034DBD"/>
    <w:rsid w:val="2C751DC4"/>
    <w:rsid w:val="2DB7418D"/>
    <w:rsid w:val="2EF13E16"/>
    <w:rsid w:val="309107D4"/>
    <w:rsid w:val="30F31691"/>
    <w:rsid w:val="30F80493"/>
    <w:rsid w:val="314570F2"/>
    <w:rsid w:val="323D414D"/>
    <w:rsid w:val="3372131A"/>
    <w:rsid w:val="33D50AA3"/>
    <w:rsid w:val="34267114"/>
    <w:rsid w:val="351D38F3"/>
    <w:rsid w:val="36D21C0C"/>
    <w:rsid w:val="37EF344B"/>
    <w:rsid w:val="389F72BA"/>
    <w:rsid w:val="39016883"/>
    <w:rsid w:val="3A075E3F"/>
    <w:rsid w:val="3B183ED6"/>
    <w:rsid w:val="3CDE57DB"/>
    <w:rsid w:val="3DBE29DE"/>
    <w:rsid w:val="3E4821DD"/>
    <w:rsid w:val="3F575646"/>
    <w:rsid w:val="404E1011"/>
    <w:rsid w:val="4050321B"/>
    <w:rsid w:val="40AF2097"/>
    <w:rsid w:val="414C5C49"/>
    <w:rsid w:val="445E3F02"/>
    <w:rsid w:val="4466784C"/>
    <w:rsid w:val="44821292"/>
    <w:rsid w:val="45056E15"/>
    <w:rsid w:val="45BB7BDD"/>
    <w:rsid w:val="466F64F1"/>
    <w:rsid w:val="47471A16"/>
    <w:rsid w:val="47682DFC"/>
    <w:rsid w:val="476B16F9"/>
    <w:rsid w:val="47F66670"/>
    <w:rsid w:val="48750EF3"/>
    <w:rsid w:val="489A5198"/>
    <w:rsid w:val="48B9557F"/>
    <w:rsid w:val="4AEE59DD"/>
    <w:rsid w:val="4B0A13BD"/>
    <w:rsid w:val="4B4359A4"/>
    <w:rsid w:val="4BCB004B"/>
    <w:rsid w:val="4D173FCE"/>
    <w:rsid w:val="4D6D199C"/>
    <w:rsid w:val="4DDE2915"/>
    <w:rsid w:val="4E0A255E"/>
    <w:rsid w:val="4E98737F"/>
    <w:rsid w:val="4E9D6958"/>
    <w:rsid w:val="4EF36684"/>
    <w:rsid w:val="4F5504BC"/>
    <w:rsid w:val="5048498A"/>
    <w:rsid w:val="50B60AD2"/>
    <w:rsid w:val="520F2AE6"/>
    <w:rsid w:val="52541045"/>
    <w:rsid w:val="539A113B"/>
    <w:rsid w:val="53F32DDF"/>
    <w:rsid w:val="549B72D6"/>
    <w:rsid w:val="560E7421"/>
    <w:rsid w:val="572C024D"/>
    <w:rsid w:val="57E265B1"/>
    <w:rsid w:val="59080905"/>
    <w:rsid w:val="595C15B4"/>
    <w:rsid w:val="5A022DBE"/>
    <w:rsid w:val="5A355B2F"/>
    <w:rsid w:val="5C9051C3"/>
    <w:rsid w:val="5D451FDB"/>
    <w:rsid w:val="5DCD4C01"/>
    <w:rsid w:val="5E1C05C1"/>
    <w:rsid w:val="5F3A7FC8"/>
    <w:rsid w:val="5FF27444"/>
    <w:rsid w:val="606163EC"/>
    <w:rsid w:val="61303219"/>
    <w:rsid w:val="61C01207"/>
    <w:rsid w:val="62A56346"/>
    <w:rsid w:val="62A77700"/>
    <w:rsid w:val="632F60B5"/>
    <w:rsid w:val="63954FA3"/>
    <w:rsid w:val="63A22320"/>
    <w:rsid w:val="6404140F"/>
    <w:rsid w:val="6474517C"/>
    <w:rsid w:val="66241AB7"/>
    <w:rsid w:val="67112885"/>
    <w:rsid w:val="67BF253C"/>
    <w:rsid w:val="68896AA8"/>
    <w:rsid w:val="68B4321F"/>
    <w:rsid w:val="69516D8F"/>
    <w:rsid w:val="69533C3B"/>
    <w:rsid w:val="695E3747"/>
    <w:rsid w:val="6B3347F0"/>
    <w:rsid w:val="6BA455D5"/>
    <w:rsid w:val="6D171FA4"/>
    <w:rsid w:val="6D554548"/>
    <w:rsid w:val="6DA554E5"/>
    <w:rsid w:val="6DEF5A9B"/>
    <w:rsid w:val="6E40491D"/>
    <w:rsid w:val="6EDA6A9F"/>
    <w:rsid w:val="6EE91211"/>
    <w:rsid w:val="6F2C1CB3"/>
    <w:rsid w:val="71B5566F"/>
    <w:rsid w:val="722873EA"/>
    <w:rsid w:val="74274DEA"/>
    <w:rsid w:val="7492181B"/>
    <w:rsid w:val="75046D30"/>
    <w:rsid w:val="752846B7"/>
    <w:rsid w:val="75F9007D"/>
    <w:rsid w:val="766F2E0F"/>
    <w:rsid w:val="76DB2C27"/>
    <w:rsid w:val="76DC7890"/>
    <w:rsid w:val="77FC1B57"/>
    <w:rsid w:val="780B2115"/>
    <w:rsid w:val="78D3662D"/>
    <w:rsid w:val="7BC331A4"/>
    <w:rsid w:val="7DB24DE3"/>
    <w:rsid w:val="7E3432CB"/>
    <w:rsid w:val="7EA17A38"/>
    <w:rsid w:val="7EF64621"/>
    <w:rsid w:val="7F7B10B3"/>
    <w:rsid w:val="7FA22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宋体" w:cs="Times New Roman"/>
      <w:kern w:val="2"/>
      <w:sz w:val="30"/>
      <w:szCs w:val="22"/>
      <w:lang w:val="en-US" w:eastAsia="zh-CN" w:bidi="ar-SA"/>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8"/>
    <w:qFormat/>
    <w:uiPriority w:val="0"/>
    <w:pPr>
      <w:spacing w:after="120"/>
    </w:pPr>
  </w:style>
  <w:style w:type="paragraph" w:styleId="3">
    <w:name w:val="Date"/>
    <w:basedOn w:val="1"/>
    <w:next w:val="1"/>
    <w:link w:val="15"/>
    <w:qFormat/>
    <w:uiPriority w:val="0"/>
    <w:pPr>
      <w:ind w:left="100" w:leftChars="2500"/>
    </w:pPr>
  </w:style>
  <w:style w:type="paragraph" w:styleId="4">
    <w:name w:val="Balloon Text"/>
    <w:basedOn w:val="1"/>
    <w:link w:val="14"/>
    <w:qFormat/>
    <w:uiPriority w:val="0"/>
    <w:pPr>
      <w:spacing w:line="240" w:lineRule="auto"/>
    </w:pPr>
    <w:rPr>
      <w:sz w:val="18"/>
      <w:szCs w:val="18"/>
    </w:rPr>
  </w:style>
  <w:style w:type="paragraph" w:styleId="5">
    <w:name w:val="footer"/>
    <w:basedOn w:val="1"/>
    <w:link w:val="13"/>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uiPriority w:val="0"/>
    <w:pPr>
      <w:spacing w:line="240" w:lineRule="auto"/>
    </w:pPr>
    <w:rPr>
      <w:rFonts w:asciiTheme="minorHAnsi" w:hAnsiTheme="minorHAnsi" w:eastAsiaTheme="minorEastAsia" w:cstheme="minorBidi"/>
      <w:sz w:val="24"/>
      <w:szCs w:val="24"/>
    </w:rPr>
  </w:style>
  <w:style w:type="character" w:styleId="9">
    <w:name w:val="page number"/>
    <w:basedOn w:val="8"/>
    <w:qFormat/>
    <w:uiPriority w:val="0"/>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customStyle="1" w:styleId="12">
    <w:name w:val="页眉 字符"/>
    <w:link w:val="6"/>
    <w:uiPriority w:val="0"/>
    <w:rPr>
      <w:sz w:val="18"/>
      <w:szCs w:val="18"/>
    </w:rPr>
  </w:style>
  <w:style w:type="character" w:customStyle="1" w:styleId="13">
    <w:name w:val="页脚 字符"/>
    <w:link w:val="5"/>
    <w:qFormat/>
    <w:uiPriority w:val="99"/>
    <w:rPr>
      <w:sz w:val="18"/>
      <w:szCs w:val="18"/>
    </w:rPr>
  </w:style>
  <w:style w:type="character" w:customStyle="1" w:styleId="14">
    <w:name w:val="批注框文本 字符"/>
    <w:link w:val="4"/>
    <w:uiPriority w:val="0"/>
    <w:rPr>
      <w:kern w:val="2"/>
      <w:sz w:val="18"/>
      <w:szCs w:val="18"/>
    </w:rPr>
  </w:style>
  <w:style w:type="character" w:customStyle="1" w:styleId="15">
    <w:name w:val="日期 字符"/>
    <w:link w:val="3"/>
    <w:uiPriority w:val="0"/>
    <w:rPr>
      <w:kern w:val="2"/>
      <w:sz w:val="30"/>
      <w:szCs w:val="22"/>
    </w:rPr>
  </w:style>
  <w:style w:type="paragraph" w:customStyle="1" w:styleId="16">
    <w:name w:val="列表段落1"/>
    <w:basedOn w:val="1"/>
    <w:qFormat/>
    <w:uiPriority w:val="34"/>
    <w:pPr>
      <w:ind w:firstLine="420" w:firstLineChars="200"/>
    </w:pPr>
  </w:style>
  <w:style w:type="paragraph" w:customStyle="1" w:styleId="17">
    <w:name w:val="Body Text First Indent_ad369ec0-1c06-48b8-8323-a59611359a22"/>
    <w:basedOn w:val="2"/>
    <w:qFormat/>
    <w:uiPriority w:val="0"/>
    <w:pPr>
      <w:spacing w:line="240" w:lineRule="auto"/>
      <w:ind w:firstLine="420" w:firstLineChars="100"/>
    </w:pPr>
    <w:rPr>
      <w:rFonts w:ascii="Calibri" w:hAnsi="Calibri"/>
      <w:sz w:val="21"/>
      <w:szCs w:val="24"/>
    </w:rPr>
  </w:style>
  <w:style w:type="character" w:customStyle="1" w:styleId="18">
    <w:name w:val="正文文本 字符"/>
    <w:basedOn w:val="8"/>
    <w:link w:val="2"/>
    <w:uiPriority w:val="0"/>
    <w:rPr>
      <w:kern w:val="2"/>
      <w:sz w:val="30"/>
      <w:szCs w:val="22"/>
    </w:rPr>
  </w:style>
  <w:style w:type="character" w:customStyle="1" w:styleId="19">
    <w:name w:val="Unresolved Mention"/>
    <w:basedOn w:val="8"/>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B5A181-14D3-46D4-BD6E-4205D921D5F5}">
  <ds:schemaRefs/>
</ds:datastoreItem>
</file>

<file path=docProps/app.xml><?xml version="1.0" encoding="utf-8"?>
<Properties xmlns="http://schemas.openxmlformats.org/officeDocument/2006/extended-properties" xmlns:vt="http://schemas.openxmlformats.org/officeDocument/2006/docPropsVTypes">
  <Template>Normal</Template>
  <Pages>3</Pages>
  <Words>153</Words>
  <Characters>877</Characters>
  <Lines>7</Lines>
  <Paragraphs>2</Paragraphs>
  <TotalTime>11</TotalTime>
  <ScaleCrop>false</ScaleCrop>
  <LinksUpToDate>false</LinksUpToDate>
  <CharactersWithSpaces>1028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2020-09-10T01:42:00Z</dcterms:created>
  <dc:creator>我</dc:creator>
  <cp:lastModifiedBy>baozhangbu</cp:lastModifiedBy>
  <cp:lastPrinted>2020-10-19T06:50:00Z</cp:lastPrinted>
  <dcterms:modified xsi:type="dcterms:W3CDTF">2020-10-19T07:48:26Z</dcterms:modified>
  <dc:title>平顶山市总工会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